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jc w:val="right"/>
        <w:rPr>
          <w:bCs/>
          <w:sz w:val="26"/>
          <w:szCs w:val="26"/>
        </w:rPr>
      </w:pPr>
      <w:bookmarkStart w:id="0" w:name="_GoBack"/>
      <w:bookmarkEnd w:id="0"/>
      <w:r>
        <w:rPr>
          <w:b/>
          <w:bCs/>
          <w:sz w:val="26"/>
          <w:szCs w:val="26"/>
        </w:rPr>
        <w:t xml:space="preserve">                                                                                      </w:t>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eastAsia="Calibri"/>
          <w:b/>
          <w:sz w:val="26"/>
          <w:szCs w:val="26"/>
        </w:rPr>
      </w:pPr>
      <w:r>
        <w:rPr>
          <w:rFonts w:eastAsia="Calibri"/>
          <w:b/>
          <w:sz w:val="26"/>
          <w:szCs w:val="26"/>
        </w:rPr>
        <w:t>Технические требования на выполнение работ</w:t>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i/>
          <w:i/>
          <w:sz w:val="26"/>
          <w:szCs w:val="26"/>
        </w:rPr>
      </w:pPr>
      <w:r>
        <w:rPr>
          <w:rFonts w:eastAsia="Calibri"/>
          <w:b/>
          <w:i/>
          <w:sz w:val="26"/>
          <w:szCs w:val="26"/>
        </w:rPr>
        <w:t>ОКПД2 43.99.40 «Текущий ремонт спиральной камеры и технических помещений гидроагрегата ст. №1 Новосибирской ГЭС с ремонтом спусков в помещения осушающих устройств»</w:t>
      </w:r>
    </w:p>
    <w:p>
      <w:pPr>
        <w:pStyle w:val="Normal"/>
        <w:jc w:val="center"/>
        <w:rPr>
          <w:rFonts w:eastAsia="Calibri"/>
          <w:b/>
          <w:i/>
          <w:i/>
          <w:sz w:val="26"/>
          <w:szCs w:val="26"/>
        </w:rPr>
      </w:pPr>
      <w:r>
        <w:rPr>
          <w:rFonts w:eastAsia="Calibri"/>
          <w:b/>
          <w:i/>
          <w:sz w:val="26"/>
          <w:szCs w:val="26"/>
        </w:rPr>
        <w:t>Лот № 4-РЕМ-2026-НовГЭС</w:t>
      </w:r>
    </w:p>
    <w:p>
      <w:pPr>
        <w:pStyle w:val="Normal"/>
        <w:keepNext w:val="true"/>
        <w:keepLines/>
        <w:jc w:val="center"/>
        <w:rPr>
          <w:rStyle w:val="Style8"/>
          <w:rFonts w:eastAsia="Calibri"/>
          <w:sz w:val="26"/>
          <w:szCs w:val="26"/>
          <w:shd w:fill="auto" w:val="clear"/>
        </w:rPr>
      </w:pPr>
      <w:r>
        <w:rPr>
          <w:rFonts w:eastAsia="Calibri"/>
          <w:sz w:val="26"/>
          <w:szCs w:val="26"/>
          <w:shd w:fill="auto" w:val="clear"/>
        </w:rPr>
      </w:r>
    </w:p>
    <w:p>
      <w:pPr>
        <w:pStyle w:val="Normal"/>
        <w:keepNext w:val="true"/>
        <w:keepLines/>
        <w:jc w:val="center"/>
        <w:rPr>
          <w:rFonts w:eastAsia="Calibri"/>
          <w:b/>
          <w:i/>
          <w:i/>
          <w:sz w:val="26"/>
          <w:szCs w:val="26"/>
        </w:rPr>
      </w:pPr>
      <w:r>
        <w:rPr>
          <w:rFonts w:eastAsia="Calibri"/>
          <w:b/>
          <w:i/>
          <w:sz w:val="26"/>
          <w:szCs w:val="26"/>
        </w:rPr>
      </w:r>
    </w:p>
    <w:p>
      <w:pPr>
        <w:pStyle w:val="Normal"/>
        <w:keepNext w:val="true"/>
        <w:keepLines/>
        <w:jc w:val="both"/>
        <w:rPr>
          <w:sz w:val="26"/>
          <w:szCs w:val="26"/>
        </w:rPr>
      </w:pPr>
      <w:r>
        <w:rPr>
          <w:sz w:val="26"/>
          <w:szCs w:val="26"/>
        </w:rPr>
      </w:r>
    </w:p>
    <w:p>
      <w:pPr>
        <w:pStyle w:val="Normal"/>
        <w:rPr>
          <w:sz w:val="26"/>
          <w:szCs w:val="26"/>
        </w:rPr>
      </w:pPr>
      <w:r>
        <w:rPr>
          <w:sz w:val="26"/>
          <w:szCs w:val="26"/>
        </w:rPr>
      </w:r>
      <w:r>
        <w:br w:type="page"/>
      </w:r>
    </w:p>
    <w:p>
      <w:pPr>
        <w:pStyle w:val="Normal"/>
        <w:jc w:val="center"/>
        <w:rPr>
          <w:b/>
        </w:rPr>
      </w:pPr>
      <w:r>
        <w:rPr>
          <w:b/>
        </w:rPr>
        <w:t>СОДЕРЖАНИЕ</w:t>
      </w:r>
    </w:p>
    <w:sdt>
      <w:sdtPr>
        <w:docPartObj>
          <w:docPartGallery w:val="Table of Contents"/>
          <w:docPartUnique w:val="true"/>
        </w:docPartObj>
      </w:sdtPr>
      <w:sdtContent>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r>
            <w:fldChar w:fldCharType="begin"/>
          </w:r>
          <w:r>
            <w:rPr>
              <w:webHidden/>
              <w:rStyle w:val="Style14"/>
              <w:vanish w:val="false"/>
              <w:rFonts w:eastAsia="Calibri"/>
            </w:rPr>
            <w:instrText xml:space="preserve"> TOC \z \o "1-4" \u \h</w:instrText>
          </w:r>
          <w:r>
            <w:rPr>
              <w:webHidden/>
              <w:rStyle w:val="Style14"/>
              <w:vanish w:val="false"/>
              <w:rFonts w:eastAsia="Calibri"/>
            </w:rPr>
            <w:fldChar w:fldCharType="separate"/>
          </w:r>
          <w:hyperlink w:anchor="_Toc226049730">
            <w:r>
              <w:rPr>
                <w:webHidden/>
                <w:rStyle w:val="Style14"/>
                <w:rFonts w:eastAsia="Calibri"/>
                <w:vanish w:val="false"/>
              </w:rPr>
              <w:t>1.</w:t>
            </w:r>
            <w:r>
              <w:rPr>
                <w:rStyle w:val="Style14"/>
                <w:rFonts w:eastAsia="" w:cs="" w:ascii="Calibri" w:hAnsi="Calibri" w:asciiTheme="minorHAnsi" w:cstheme="minorBidi" w:eastAsiaTheme="minorEastAsia" w:hAnsiTheme="minorHAnsi"/>
                <w:b w:val="false"/>
                <w:bCs w:val="false"/>
              </w:rPr>
              <w:tab/>
            </w:r>
            <w:r>
              <w:rPr>
                <w:rStyle w:val="Style14"/>
                <w:rFonts w:eastAsia="Calibri"/>
              </w:rPr>
              <w:t>Общие сведения</w:t>
            </w:r>
            <w:r>
              <w:rPr>
                <w:webHidden/>
              </w:rPr>
              <w:fldChar w:fldCharType="begin"/>
            </w:r>
            <w:r>
              <w:rPr>
                <w:webHidden/>
              </w:rPr>
              <w:instrText xml:space="preserve">PAGEREF _Toc226049730 \h</w:instrText>
            </w:r>
            <w:r>
              <w:rPr>
                <w:webHidden/>
              </w:rPr>
              <w:fldChar w:fldCharType="separate"/>
            </w:r>
            <w:r>
              <w:rPr>
                <w:rStyle w:val="Style14"/>
              </w:rPr>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1">
            <w:r>
              <w:rPr>
                <w:webHidden/>
                <w:rStyle w:val="Style14"/>
                <w:rFonts w:eastAsia="Calibri"/>
                <w:iCs/>
                <w:vanish w:val="false"/>
                <w:sz w:val="24"/>
                <w:szCs w:val="24"/>
              </w:rPr>
              <w:t>1.1.</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Обозначения и сокращения</w:t>
            </w:r>
            <w:r>
              <w:rPr>
                <w:webHidden/>
              </w:rPr>
              <w:fldChar w:fldCharType="begin"/>
            </w:r>
            <w:r>
              <w:rPr>
                <w:webHidden/>
              </w:rPr>
              <w:instrText xml:space="preserve">PAGEREF _Toc226049731 \h</w:instrText>
            </w:r>
            <w:r>
              <w:rPr>
                <w:webHidden/>
              </w:rPr>
              <w:fldChar w:fldCharType="separate"/>
            </w:r>
            <w:r>
              <w:rPr>
                <w:rStyle w:val="Style14"/>
                <w:sz w:val="24"/>
                <w:szCs w:val="24"/>
              </w:rPr>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2">
            <w:r>
              <w:rPr>
                <w:webHidden/>
                <w:rStyle w:val="Style14"/>
                <w:rFonts w:eastAsia="Calibri"/>
                <w:iCs/>
                <w:vanish w:val="false"/>
                <w:sz w:val="24"/>
                <w:szCs w:val="24"/>
              </w:rPr>
              <w:t>1.2.</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Наименование закупаемой продукции</w:t>
            </w:r>
            <w:r>
              <w:rPr>
                <w:webHidden/>
              </w:rPr>
              <w:fldChar w:fldCharType="begin"/>
            </w:r>
            <w:r>
              <w:rPr>
                <w:webHidden/>
              </w:rPr>
              <w:instrText xml:space="preserve">PAGEREF _Toc226049732 \h</w:instrText>
            </w:r>
            <w:r>
              <w:rPr>
                <w:webHidden/>
              </w:rPr>
              <w:fldChar w:fldCharType="separate"/>
            </w:r>
            <w:r>
              <w:rPr>
                <w:rStyle w:val="Style14"/>
                <w:sz w:val="24"/>
                <w:szCs w:val="24"/>
              </w:rPr>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3">
            <w:r>
              <w:rPr>
                <w:webHidden/>
                <w:rStyle w:val="Style14"/>
                <w:rFonts w:eastAsia="Calibri"/>
                <w:iCs/>
                <w:vanish w:val="false"/>
                <w:sz w:val="24"/>
                <w:szCs w:val="24"/>
              </w:rPr>
              <w:t>1.3.</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Цель выполнения работ</w:t>
            </w:r>
            <w:r>
              <w:rPr>
                <w:webHidden/>
              </w:rPr>
              <w:fldChar w:fldCharType="begin"/>
            </w:r>
            <w:r>
              <w:rPr>
                <w:webHidden/>
              </w:rPr>
              <w:instrText xml:space="preserve">PAGEREF _Toc226049733 \h</w:instrText>
            </w:r>
            <w:r>
              <w:rPr>
                <w:webHidden/>
              </w:rPr>
              <w:fldChar w:fldCharType="separate"/>
            </w:r>
            <w:r>
              <w:rPr>
                <w:rStyle w:val="Style14"/>
                <w:sz w:val="24"/>
                <w:szCs w:val="24"/>
              </w:rPr>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4">
            <w:r>
              <w:rPr>
                <w:webHidden/>
                <w:rStyle w:val="Style14"/>
                <w:rFonts w:eastAsia="Calibri"/>
                <w:iCs/>
                <w:vanish w:val="false"/>
                <w:sz w:val="24"/>
                <w:szCs w:val="24"/>
              </w:rPr>
              <w:t>1.4.</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Существующее положение</w:t>
            </w:r>
            <w:r>
              <w:rPr>
                <w:webHidden/>
              </w:rPr>
              <w:fldChar w:fldCharType="begin"/>
            </w:r>
            <w:r>
              <w:rPr>
                <w:webHidden/>
              </w:rPr>
              <w:instrText xml:space="preserve">PAGEREF _Toc226049734 \h</w:instrText>
            </w:r>
            <w:r>
              <w:rPr>
                <w:webHidden/>
              </w:rPr>
              <w:fldChar w:fldCharType="separate"/>
            </w:r>
            <w:r>
              <w:rPr>
                <w:rStyle w:val="Style14"/>
                <w:sz w:val="24"/>
                <w:szCs w:val="24"/>
              </w:rPr>
              <w:tab/>
              <w:t>4</w:t>
            </w:r>
            <w:r>
              <w:rPr>
                <w:webHidden/>
              </w:rPr>
              <w:fldChar w:fldCharType="end"/>
            </w:r>
          </w:hyperlink>
        </w:p>
        <w:p>
          <w:pPr>
            <w:pStyle w:val="TOC4"/>
            <w:tabs>
              <w:tab w:val="clear" w:pos="708"/>
              <w:tab w:val="right" w:pos="9911" w:leader="dot"/>
            </w:tabs>
            <w:rPr>
              <w:rFonts w:ascii="Calibri" w:hAnsi="Calibri" w:eastAsia="" w:cs="" w:asciiTheme="minorHAnsi" w:cstheme="minorBidi" w:eastAsiaTheme="minorEastAsia" w:hAnsiTheme="minorHAnsi"/>
              <w:sz w:val="24"/>
              <w:szCs w:val="24"/>
            </w:rPr>
          </w:pPr>
          <w:hyperlink w:anchor="_Toc226049735">
            <w:r>
              <w:rPr>
                <w:webHidden/>
                <w:rStyle w:val="Style14"/>
                <w:rFonts w:eastAsia="Calibri"/>
                <w:vanish w:val="false"/>
                <w:sz w:val="24"/>
                <w:szCs w:val="24"/>
              </w:rPr>
              <w:t>Таблица 1. Перечень объектов заказчика</w:t>
            </w:r>
            <w:r>
              <w:rPr>
                <w:webHidden/>
              </w:rPr>
              <w:fldChar w:fldCharType="begin"/>
            </w:r>
            <w:r>
              <w:rPr>
                <w:webHidden/>
              </w:rPr>
              <w:instrText xml:space="preserve">PAGEREF _Toc226049735 \h</w:instrText>
            </w:r>
            <w:r>
              <w:rPr>
                <w:webHidden/>
              </w:rPr>
              <w:fldChar w:fldCharType="separate"/>
            </w:r>
            <w:r>
              <w:rPr>
                <w:rStyle w:val="Style14"/>
                <w:sz w:val="24"/>
                <w:szCs w:val="24"/>
              </w:rPr>
              <w:tab/>
              <w:t>4</w:t>
            </w:r>
            <w:r>
              <w:rPr>
                <w:webHidden/>
              </w:rPr>
              <w:fldChar w:fldCharType="end"/>
            </w:r>
          </w:hyperlink>
        </w:p>
        <w:p>
          <w:pPr>
            <w:pStyle w:val="TOC4"/>
            <w:tabs>
              <w:tab w:val="clear" w:pos="708"/>
              <w:tab w:val="right" w:pos="9911" w:leader="dot"/>
            </w:tabs>
            <w:rPr>
              <w:rFonts w:ascii="Calibri" w:hAnsi="Calibri" w:eastAsia="" w:cs="" w:asciiTheme="minorHAnsi" w:cstheme="minorBidi" w:eastAsiaTheme="minorEastAsia" w:hAnsiTheme="minorHAnsi"/>
              <w:sz w:val="24"/>
              <w:szCs w:val="24"/>
            </w:rPr>
          </w:pPr>
          <w:hyperlink w:anchor="_Toc226049736">
            <w:r>
              <w:rPr>
                <w:webHidden/>
                <w:rStyle w:val="Style14"/>
                <w:rFonts w:eastAsia="Calibri"/>
                <w:vanish w:val="false"/>
                <w:sz w:val="24"/>
                <w:szCs w:val="24"/>
              </w:rPr>
              <w:t>Условия производства работ:</w:t>
            </w:r>
            <w:r>
              <w:rPr>
                <w:webHidden/>
              </w:rPr>
              <w:fldChar w:fldCharType="begin"/>
            </w:r>
            <w:r>
              <w:rPr>
                <w:webHidden/>
              </w:rPr>
              <w:instrText xml:space="preserve">PAGEREF _Toc226049736 \h</w:instrText>
            </w:r>
            <w:r>
              <w:rPr>
                <w:webHidden/>
              </w:rPr>
              <w:fldChar w:fldCharType="separate"/>
            </w:r>
            <w:r>
              <w:rPr>
                <w:rStyle w:val="Style14"/>
                <w:sz w:val="24"/>
                <w:szCs w:val="24"/>
              </w:rPr>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7">
            <w:r>
              <w:rPr>
                <w:webHidden/>
                <w:rStyle w:val="Style14"/>
                <w:rFonts w:eastAsia="Calibri"/>
                <w:iCs/>
                <w:vanish w:val="false"/>
                <w:sz w:val="24"/>
                <w:szCs w:val="24"/>
              </w:rPr>
              <w:t>1.5.</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Pr>
                <w:webHidden/>
              </w:rPr>
              <w:fldChar w:fldCharType="begin"/>
            </w:r>
            <w:r>
              <w:rPr>
                <w:webHidden/>
              </w:rPr>
              <w:instrText xml:space="preserve">PAGEREF _Toc226049737 \h</w:instrText>
            </w:r>
            <w:r>
              <w:rPr>
                <w:webHidden/>
              </w:rPr>
              <w:fldChar w:fldCharType="separate"/>
            </w:r>
            <w:r>
              <w:rPr>
                <w:rStyle w:val="Style14"/>
                <w:sz w:val="24"/>
                <w:szCs w:val="24"/>
              </w:rPr>
              <w:tab/>
              <w:t>5</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226049738">
            <w:r>
              <w:rPr>
                <w:webHidden/>
                <w:rStyle w:val="Style14"/>
                <w:rFonts w:eastAsia="Calibri"/>
                <w:vanish w:val="false"/>
              </w:rPr>
              <w:t>2.</w:t>
            </w:r>
            <w:r>
              <w:rPr>
                <w:rStyle w:val="Style14"/>
                <w:rFonts w:eastAsia="" w:cs="" w:ascii="Calibri" w:hAnsi="Calibri" w:asciiTheme="minorHAnsi" w:cstheme="minorBidi" w:eastAsiaTheme="minorEastAsia" w:hAnsiTheme="minorHAnsi"/>
                <w:b w:val="false"/>
                <w:bCs w:val="false"/>
              </w:rPr>
              <w:tab/>
            </w:r>
            <w:r>
              <w:rPr>
                <w:rStyle w:val="Style14"/>
                <w:rFonts w:eastAsia="Calibri"/>
                <w:iCs/>
              </w:rPr>
              <w:t>Требования к продукции</w:t>
            </w:r>
            <w:r>
              <w:rPr>
                <w:webHidden/>
              </w:rPr>
              <w:fldChar w:fldCharType="begin"/>
            </w:r>
            <w:r>
              <w:rPr>
                <w:webHidden/>
              </w:rPr>
              <w:instrText xml:space="preserve">PAGEREF _Toc226049738 \h</w:instrText>
            </w:r>
            <w:r>
              <w:rPr>
                <w:webHidden/>
              </w:rPr>
              <w:fldChar w:fldCharType="separate"/>
            </w:r>
            <w:r>
              <w:rPr>
                <w:rStyle w:val="Style14"/>
              </w:rPr>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39">
            <w:r>
              <w:rPr>
                <w:webHidden/>
                <w:rStyle w:val="Style14"/>
                <w:rFonts w:eastAsia="Calibri"/>
                <w:iCs/>
                <w:vanish w:val="false"/>
                <w:sz w:val="24"/>
                <w:szCs w:val="24"/>
              </w:rPr>
              <w:t>2.1.</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Требования к объемам и срокам выполнения работ</w:t>
            </w:r>
            <w:r>
              <w:rPr>
                <w:webHidden/>
              </w:rPr>
              <w:fldChar w:fldCharType="begin"/>
            </w:r>
            <w:r>
              <w:rPr>
                <w:webHidden/>
              </w:rPr>
              <w:instrText xml:space="preserve">PAGEREF _Toc226049739 \h</w:instrText>
            </w:r>
            <w:r>
              <w:rPr>
                <w:webHidden/>
              </w:rPr>
              <w:fldChar w:fldCharType="separate"/>
            </w:r>
            <w:r>
              <w:rPr>
                <w:rStyle w:val="Style14"/>
                <w:sz w:val="24"/>
                <w:szCs w:val="24"/>
              </w:rPr>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40">
            <w:r>
              <w:rPr>
                <w:webHidden/>
                <w:rStyle w:val="Style14"/>
                <w:rFonts w:eastAsia="Calibri"/>
                <w:vanish w:val="false"/>
                <w:sz w:val="24"/>
                <w:szCs w:val="24"/>
              </w:rPr>
              <w:t>2.1.1.</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Требования к видам и объемам работ</w:t>
            </w:r>
            <w:r>
              <w:rPr>
                <w:webHidden/>
              </w:rPr>
              <w:fldChar w:fldCharType="begin"/>
            </w:r>
            <w:r>
              <w:rPr>
                <w:webHidden/>
              </w:rPr>
              <w:instrText xml:space="preserve">PAGEREF _Toc226049740 \h</w:instrText>
            </w:r>
            <w:r>
              <w:rPr>
                <w:webHidden/>
              </w:rPr>
              <w:fldChar w:fldCharType="separate"/>
            </w:r>
            <w:r>
              <w:rPr>
                <w:rStyle w:val="Style14"/>
                <w:sz w:val="24"/>
                <w:szCs w:val="24"/>
              </w:rPr>
              <w:tab/>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226049741">
            <w:r>
              <w:rPr>
                <w:webHidden/>
                <w:rStyle w:val="Style14"/>
                <w:rFonts w:eastAsia="Calibri"/>
                <w:vanish w:val="false"/>
              </w:rPr>
              <w:t>Таблица 2. Перечень и объем выполняемых работ</w:t>
            </w:r>
            <w:r>
              <w:rPr>
                <w:webHidden/>
              </w:rPr>
              <w:fldChar w:fldCharType="begin"/>
            </w:r>
            <w:r>
              <w:rPr>
                <w:webHidden/>
              </w:rPr>
              <w:instrText xml:space="preserve">PAGEREF _Toc226049741 \h</w:instrText>
            </w:r>
            <w:r>
              <w:rPr>
                <w:webHidden/>
              </w:rPr>
              <w:fldChar w:fldCharType="separate"/>
            </w:r>
            <w:r>
              <w:rPr>
                <w:rStyle w:val="Style14"/>
              </w:rPr>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42">
            <w:r>
              <w:rPr>
                <w:webHidden/>
                <w:rStyle w:val="Style14"/>
                <w:rFonts w:eastAsia="Calibri"/>
                <w:vanish w:val="false"/>
                <w:sz w:val="24"/>
                <w:szCs w:val="24"/>
              </w:rPr>
              <w:t>2.1.2.</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Требования к срокам выполнения работ</w:t>
            </w:r>
            <w:r>
              <w:rPr>
                <w:webHidden/>
              </w:rPr>
              <w:fldChar w:fldCharType="begin"/>
            </w:r>
            <w:r>
              <w:rPr>
                <w:webHidden/>
              </w:rPr>
              <w:instrText xml:space="preserve">PAGEREF _Toc226049742 \h</w:instrText>
            </w:r>
            <w:r>
              <w:rPr>
                <w:webHidden/>
              </w:rPr>
              <w:fldChar w:fldCharType="separate"/>
            </w:r>
            <w:r>
              <w:rPr>
                <w:rStyle w:val="Style14"/>
                <w:sz w:val="24"/>
                <w:szCs w:val="24"/>
              </w:rPr>
              <w:tab/>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226049743">
            <w:r>
              <w:rPr>
                <w:webHidden/>
                <w:rStyle w:val="Style14"/>
                <w:rFonts w:eastAsia="Calibri"/>
                <w:vanish w:val="false"/>
              </w:rPr>
              <w:t>Таблица 3. Требования по срокам выполнения работ</w:t>
            </w:r>
            <w:r>
              <w:rPr>
                <w:webHidden/>
              </w:rPr>
              <w:fldChar w:fldCharType="begin"/>
            </w:r>
            <w:r>
              <w:rPr>
                <w:webHidden/>
              </w:rPr>
              <w:instrText xml:space="preserve">PAGEREF _Toc226049743 \h</w:instrText>
            </w:r>
            <w:r>
              <w:rPr>
                <w:webHidden/>
              </w:rPr>
              <w:fldChar w:fldCharType="separate"/>
            </w:r>
            <w:r>
              <w:rPr>
                <w:rStyle w:val="Style14"/>
              </w:rPr>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226049744">
            <w:r>
              <w:rPr>
                <w:webHidden/>
                <w:rStyle w:val="Style14"/>
                <w:rFonts w:eastAsia="Calibri"/>
                <w:iCs/>
                <w:vanish w:val="false"/>
                <w:sz w:val="24"/>
                <w:szCs w:val="24"/>
              </w:rPr>
              <w:t>2.2.</w:t>
            </w:r>
            <w:r>
              <w:rPr>
                <w:rStyle w:val="Style14"/>
                <w:rFonts w:eastAsia="" w:cs="" w:ascii="Calibri" w:hAnsi="Calibri" w:asciiTheme="minorHAnsi" w:cstheme="minorBidi" w:eastAsiaTheme="minorEastAsia" w:hAnsiTheme="minorHAnsi"/>
                <w:sz w:val="24"/>
                <w:szCs w:val="24"/>
              </w:rPr>
              <w:tab/>
            </w:r>
            <w:r>
              <w:rPr>
                <w:rStyle w:val="Style14"/>
                <w:rFonts w:eastAsia="Calibri"/>
                <w:sz w:val="24"/>
                <w:szCs w:val="24"/>
              </w:rPr>
              <w:t>Требования к качеству работ</w:t>
            </w:r>
            <w:r>
              <w:rPr>
                <w:webHidden/>
              </w:rPr>
              <w:fldChar w:fldCharType="begin"/>
            </w:r>
            <w:r>
              <w:rPr>
                <w:webHidden/>
              </w:rPr>
              <w:instrText xml:space="preserve">PAGEREF _Toc226049744 \h</w:instrText>
            </w:r>
            <w:r>
              <w:rPr>
                <w:webHidden/>
              </w:rPr>
              <w:fldChar w:fldCharType="separate"/>
            </w:r>
            <w:r>
              <w:rPr>
                <w:rStyle w:val="Style14"/>
                <w:sz w:val="24"/>
                <w:szCs w:val="24"/>
              </w:rPr>
              <w:tab/>
              <w:t>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226049745">
            <w:r>
              <w:rPr>
                <w:webHidden/>
                <w:rStyle w:val="Style14"/>
                <w:rFonts w:eastAsia="Calibri"/>
                <w:vanish w:val="false"/>
              </w:rPr>
              <w:t>Таблица 4. Требования к качеству работ</w:t>
            </w:r>
            <w:r>
              <w:rPr>
                <w:webHidden/>
              </w:rPr>
              <w:fldChar w:fldCharType="begin"/>
            </w:r>
            <w:r>
              <w:rPr>
                <w:webHidden/>
              </w:rPr>
              <w:instrText xml:space="preserve">PAGEREF _Toc226049745 \h</w:instrText>
            </w:r>
            <w:r>
              <w:rPr>
                <w:webHidden/>
              </w:rPr>
              <w:fldChar w:fldCharType="separate"/>
            </w:r>
            <w:r>
              <w:rPr>
                <w:rStyle w:val="Style14"/>
              </w:rPr>
              <w:tab/>
              <w:t>6</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226049755">
            <w:r>
              <w:rPr>
                <w:webHidden/>
                <w:rStyle w:val="Style14"/>
                <w:rFonts w:eastAsia="Calibri"/>
                <w:vanish w:val="false"/>
              </w:rPr>
              <w:t>3.</w:t>
            </w:r>
            <w:r>
              <w:rPr>
                <w:rStyle w:val="Style14"/>
                <w:rFonts w:eastAsia="" w:cs="" w:ascii="Calibri" w:hAnsi="Calibri" w:asciiTheme="minorHAnsi" w:cstheme="minorBidi" w:eastAsiaTheme="minorEastAsia" w:hAnsiTheme="minorHAnsi"/>
                <w:b w:val="false"/>
                <w:bCs w:val="false"/>
              </w:rPr>
              <w:tab/>
            </w:r>
            <w:r>
              <w:rPr>
                <w:rStyle w:val="Style14"/>
                <w:rFonts w:eastAsia="Calibri"/>
              </w:rPr>
              <w:t>Требования к документации по ценообразованию на этапе закупки</w:t>
            </w:r>
            <w:r>
              <w:rPr>
                <w:rStyle w:val="Style14"/>
              </w:rPr>
              <w:tab/>
            </w:r>
          </w:hyperlink>
          <w:r>
            <w:rPr/>
            <w:t>21</w:t>
          </w:r>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226049756">
            <w:r>
              <w:rPr>
                <w:webHidden/>
                <w:rStyle w:val="Style14"/>
                <w:rFonts w:eastAsia="Calibri"/>
                <w:vanish w:val="false"/>
              </w:rPr>
              <w:t>4.</w:t>
            </w:r>
            <w:r>
              <w:rPr>
                <w:rStyle w:val="Style14"/>
                <w:rFonts w:eastAsia="" w:cs="" w:ascii="Calibri" w:hAnsi="Calibri" w:asciiTheme="minorHAnsi" w:cstheme="minorBidi" w:eastAsiaTheme="minorEastAsia" w:hAnsiTheme="minorHAnsi"/>
                <w:b w:val="false"/>
                <w:bCs w:val="false"/>
              </w:rPr>
              <w:tab/>
            </w:r>
            <w:r>
              <w:rPr>
                <w:rStyle w:val="Style14"/>
                <w:rFonts w:eastAsia="Calibri"/>
              </w:rPr>
              <w:t>Требования к документации по ценообразованию на этапе заключения (исполнения) договора</w:t>
            </w:r>
            <w:r>
              <w:rPr>
                <w:rStyle w:val="Style14"/>
              </w:rPr>
              <w:tab/>
            </w:r>
          </w:hyperlink>
          <w:r>
            <w:rPr/>
            <w:t>21</w:t>
          </w:r>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226049757">
            <w:r>
              <w:rPr>
                <w:webHidden/>
                <w:rStyle w:val="Style14"/>
                <w:rFonts w:eastAsia="Calibri"/>
                <w:vanish w:val="false"/>
              </w:rPr>
              <w:t>5.</w:t>
            </w:r>
            <w:r>
              <w:rPr>
                <w:rStyle w:val="Style14"/>
                <w:rFonts w:eastAsia="" w:cs="" w:ascii="Calibri" w:hAnsi="Calibri" w:asciiTheme="minorHAnsi" w:cstheme="minorBidi" w:eastAsiaTheme="minorEastAsia" w:hAnsiTheme="minorHAnsi"/>
                <w:b w:val="false"/>
                <w:bCs w:val="false"/>
              </w:rPr>
              <w:tab/>
            </w:r>
            <w:r>
              <w:rPr>
                <w:rStyle w:val="Style14"/>
                <w:rFonts w:eastAsia="Calibri"/>
              </w:rPr>
              <w:t>Приложения</w:t>
            </w:r>
            <w:r>
              <w:rPr>
                <w:rStyle w:val="Style14"/>
              </w:rPr>
              <w:tab/>
            </w:r>
          </w:hyperlink>
          <w:r>
            <w:rPr/>
            <w:t>21</w:t>
          </w:r>
          <w:r>
            <w:rPr/>
            <w:fldChar w:fldCharType="end"/>
          </w:r>
        </w:p>
      </w:sdtContent>
    </w:sdt>
    <w:p>
      <w:pPr>
        <w:pStyle w:val="TOC1"/>
        <w:tabs>
          <w:tab w:val="clear" w:pos="708"/>
          <w:tab w:val="right" w:pos="9911" w:leader="dot"/>
        </w:tabs>
        <w:rPr>
          <w:rFonts w:eastAsia="" w:cs="" w:cstheme="minorBidi" w:eastAsiaTheme="minorEastAsia"/>
          <w:b w:val="false"/>
          <w:bCs w:val="false"/>
        </w:rPr>
      </w:pPr>
      <w:r>
        <w:rPr>
          <w:rFonts w:eastAsia="" w:cs="" w:cstheme="minorBidi" w:eastAsiaTheme="minorEastAsia"/>
          <w:b w:val="false"/>
          <w:bCs w:val="false"/>
        </w:rPr>
      </w:r>
    </w:p>
    <w:p>
      <w:pPr>
        <w:pStyle w:val="Heading2"/>
        <w:numPr>
          <w:ilvl w:val="0"/>
        </w:numPr>
        <w:tabs>
          <w:tab w:val="clear" w:pos="0"/>
        </w:tabs>
        <w:ind w:left="0" w:hanging="0"/>
        <w:rPr>
          <w:b w:val="false"/>
          <w:i/>
          <w:i/>
        </w:rPr>
      </w:pPr>
      <w:r>
        <w:rPr>
          <w:b w:val="false"/>
          <w:i/>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keepLines/>
        <w:numPr>
          <w:ilvl w:val="0"/>
          <w:numId w:val="3"/>
        </w:numPr>
        <w:ind w:left="357" w:hanging="357"/>
        <w:jc w:val="center"/>
        <w:rPr>
          <w:caps/>
          <w:lang w:val="ru-RU"/>
        </w:rPr>
      </w:pPr>
      <w:bookmarkStart w:id="1" w:name="_Toc51339692"/>
      <w:bookmarkStart w:id="2" w:name="_Toc226049730"/>
      <w:r>
        <w:rPr>
          <w:lang w:val="ru-RU"/>
        </w:rPr>
        <w:t>Общие сведения</w:t>
      </w:r>
      <w:bookmarkEnd w:id="1"/>
      <w:bookmarkEnd w:id="2"/>
    </w:p>
    <w:p>
      <w:pPr>
        <w:pStyle w:val="Heading4"/>
        <w:numPr>
          <w:ilvl w:val="1"/>
          <w:numId w:val="3"/>
        </w:numPr>
        <w:rPr/>
      </w:pPr>
      <w:bookmarkStart w:id="3" w:name="_Toc46743505"/>
      <w:bookmarkStart w:id="4" w:name="_Toc226049731"/>
      <w:r>
        <w:rPr/>
        <w:t>Обозначения и сокращения</w:t>
      </w:r>
      <w:bookmarkEnd w:id="3"/>
      <w:bookmarkEnd w:id="4"/>
    </w:p>
    <w:p>
      <w:pPr>
        <w:pStyle w:val="Normal"/>
        <w:rPr>
          <w:rStyle w:val="Style8"/>
          <w:b w:val="false"/>
          <w:bCs/>
          <w:iCs/>
          <w:sz w:val="26"/>
          <w:szCs w:val="26"/>
        </w:rPr>
      </w:pPr>
      <w:r>
        <w:rPr>
          <w:b w:val="false"/>
          <w:bCs/>
          <w:iCs/>
          <w:sz w:val="26"/>
          <w:szCs w:val="26"/>
        </w:rPr>
      </w:r>
    </w:p>
    <w:tbl>
      <w:tblPr>
        <w:tblW w:w="9783"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3516"/>
        <w:gridCol w:w="6266"/>
      </w:tblGrid>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b/>
                <w:sz w:val="24"/>
                <w:szCs w:val="24"/>
              </w:rPr>
              <w:t>Заказчик</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sz w:val="24"/>
                <w:szCs w:val="24"/>
              </w:rPr>
              <w:t>ПАО «Федеральная гидрогенерирующая компания - РусГидро» (ПАО «РусГидро»)</w:t>
            </w:r>
          </w:p>
        </w:tc>
      </w:tr>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Fonts w:eastAsia="Calibri"/>
                <w:b/>
                <w:sz w:val="24"/>
                <w:szCs w:val="24"/>
              </w:rPr>
            </w:pPr>
            <w:r>
              <w:rPr>
                <w:rFonts w:eastAsia="Calibri"/>
                <w:b/>
                <w:sz w:val="24"/>
                <w:szCs w:val="24"/>
              </w:rPr>
              <w:t>Филиал</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sz w:val="24"/>
                <w:szCs w:val="24"/>
              </w:rPr>
              <w:t>Филиал ПАО «РусГидро» - «Новосибирская ГЭС»</w:t>
            </w:r>
          </w:p>
        </w:tc>
      </w:tr>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Fonts w:eastAsia="Calibri"/>
                <w:b/>
                <w:sz w:val="24"/>
                <w:szCs w:val="24"/>
              </w:rPr>
            </w:pPr>
            <w:r>
              <w:rPr>
                <w:rFonts w:eastAsia="Calibri"/>
                <w:b/>
                <w:sz w:val="24"/>
                <w:szCs w:val="24"/>
              </w:rPr>
              <w:t>Объект (Объект воздействия)</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sz w:val="24"/>
                <w:szCs w:val="24"/>
              </w:rPr>
              <w:t>Здание гидростанции, подводное сооружение, литер А1, инв.№НВ0000107761, гидроагрегат №1</w:t>
            </w:r>
          </w:p>
        </w:tc>
      </w:tr>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Fonts w:eastAsia="Calibri"/>
                <w:b/>
                <w:sz w:val="24"/>
                <w:szCs w:val="24"/>
              </w:rPr>
            </w:pPr>
            <w:r>
              <w:rPr>
                <w:rFonts w:eastAsia="Calibri"/>
                <w:b/>
                <w:sz w:val="24"/>
                <w:szCs w:val="24"/>
              </w:rPr>
              <w:t>Подрядчик</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sz w:val="24"/>
                <w:szCs w:val="24"/>
              </w:rPr>
              <w:t>Любое юридическое или физическое лицо, а также объединение этих лиц, способное на законных основаниях выполнить требуемый объем работ</w:t>
            </w:r>
          </w:p>
        </w:tc>
      </w:tr>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Fonts w:eastAsia="Calibri"/>
                <w:b/>
                <w:sz w:val="24"/>
                <w:szCs w:val="24"/>
              </w:rPr>
            </w:pPr>
            <w:r>
              <w:rPr>
                <w:rFonts w:eastAsia="Calibri"/>
                <w:b/>
                <w:sz w:val="24"/>
                <w:szCs w:val="24"/>
              </w:rPr>
              <w:t>Проект производства работ (ППР)</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rFonts w:eastAsia="Calibri"/>
                <w:sz w:val="24"/>
                <w:szCs w:val="24"/>
              </w:rPr>
              <w:t>Организационно-технологический документ, при разработке которого главной задачей является детальная проработка самых эффективных и рациональных способов и технологии организации строительного процесса и организации строительного процесса в целом</w:t>
            </w:r>
          </w:p>
        </w:tc>
      </w:tr>
      <w:tr>
        <w:trPr>
          <w:cantSplit w:val="true"/>
        </w:trPr>
        <w:tc>
          <w:tcPr>
            <w:tcW w:w="35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Fonts w:eastAsia="Calibri"/>
                <w:b/>
                <w:sz w:val="24"/>
                <w:szCs w:val="24"/>
              </w:rPr>
            </w:pPr>
            <w:r>
              <w:rPr>
                <w:rFonts w:eastAsia="Calibri"/>
                <w:b/>
                <w:sz w:val="24"/>
                <w:szCs w:val="24"/>
              </w:rPr>
              <w:t>План производства работ на высоте (ППРв)</w:t>
            </w:r>
          </w:p>
        </w:tc>
        <w:tc>
          <w:tcPr>
            <w:tcW w:w="62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rFonts w:eastAsia="Calibri"/>
                <w:b w:val="false"/>
                <w:i w:val="false"/>
                <w:i w:val="false"/>
                <w:sz w:val="24"/>
                <w:szCs w:val="24"/>
                <w:shd w:fill="auto" w:val="clear"/>
              </w:rPr>
            </w:pPr>
            <w:r>
              <w:rPr>
                <w:rFonts w:eastAsia="Calibri"/>
                <w:sz w:val="24"/>
                <w:szCs w:val="24"/>
              </w:rPr>
              <w:t>Документ, регламентирующим организационные и технико-технологические мероприятия по безопасности выполнения работ на высоте</w:t>
            </w:r>
          </w:p>
        </w:tc>
      </w:tr>
    </w:tbl>
    <w:p>
      <w:pPr>
        <w:pStyle w:val="Normal"/>
        <w:keepNext w:val="true"/>
        <w:keepLines/>
        <w:jc w:val="both"/>
        <w:rPr>
          <w:sz w:val="24"/>
          <w:szCs w:val="24"/>
        </w:rPr>
      </w:pPr>
      <w:r>
        <w:rPr>
          <w:sz w:val="24"/>
          <w:szCs w:val="24"/>
        </w:rPr>
      </w:r>
    </w:p>
    <w:p>
      <w:pPr>
        <w:pStyle w:val="Normal"/>
        <w:keepNext w:val="true"/>
        <w:keepLines/>
        <w:jc w:val="both"/>
        <w:rPr>
          <w:sz w:val="24"/>
          <w:szCs w:val="24"/>
        </w:rPr>
      </w:pPr>
      <w:r>
        <w:rPr>
          <w:sz w:val="24"/>
          <w:szCs w:val="24"/>
        </w:rPr>
      </w:r>
    </w:p>
    <w:p>
      <w:pPr>
        <w:pStyle w:val="Normal"/>
        <w:keepNext w:val="true"/>
        <w:keepLines/>
        <w:rPr>
          <w:sz w:val="24"/>
          <w:szCs w:val="24"/>
        </w:rPr>
      </w:pPr>
      <w:r>
        <w:rPr>
          <w:sz w:val="24"/>
          <w:szCs w:val="24"/>
        </w:rPr>
      </w:r>
      <w:r>
        <w:br w:type="page"/>
      </w:r>
    </w:p>
    <w:p>
      <w:pPr>
        <w:pStyle w:val="Heading4"/>
        <w:numPr>
          <w:ilvl w:val="1"/>
          <w:numId w:val="3"/>
        </w:numPr>
        <w:rPr/>
      </w:pPr>
      <w:bookmarkStart w:id="5" w:name="_Toc46743506"/>
      <w:bookmarkStart w:id="6" w:name="_Toc226049732"/>
      <w:r>
        <w:rPr/>
        <w:t>Наименование закупаемой продукции</w:t>
      </w:r>
      <w:bookmarkEnd w:id="5"/>
      <w:bookmarkEnd w:id="6"/>
    </w:p>
    <w:p>
      <w:pPr>
        <w:pStyle w:val="Normal"/>
        <w:keepNext w:val="true"/>
        <w:keepLines/>
        <w:ind w:left="426" w:hanging="0"/>
        <w:jc w:val="both"/>
        <w:rPr/>
      </w:pPr>
      <w:r>
        <w:rPr>
          <w:rFonts w:eastAsia="Calibri"/>
          <w:sz w:val="24"/>
          <w:szCs w:val="26"/>
        </w:rPr>
        <w:t>ОКПД2 43.99.40 Текущий ремонт спиральной камеры и технических помещений гидроагрегата ст. №1 Новосибирской ГЭС с ремонтом спусков в помещения осушающих устройств, лот № 4-РЕМ-2026-НовГЭС.</w:t>
      </w:r>
    </w:p>
    <w:p>
      <w:pPr>
        <w:pStyle w:val="Heading4"/>
        <w:numPr>
          <w:ilvl w:val="1"/>
          <w:numId w:val="3"/>
        </w:numPr>
        <w:rPr/>
      </w:pPr>
      <w:bookmarkStart w:id="7" w:name="_Toc226049733"/>
      <w:bookmarkStart w:id="8" w:name="_Toc46743507"/>
      <w:r>
        <w:rPr/>
        <w:t xml:space="preserve">Цель </w:t>
      </w:r>
      <w:bookmarkEnd w:id="8"/>
      <w:r>
        <w:rPr>
          <w:lang w:val="ru-RU"/>
        </w:rPr>
        <w:t>выполнения работ</w:t>
      </w:r>
      <w:bookmarkEnd w:id="7"/>
      <w:r>
        <w:rPr/>
        <w:t xml:space="preserve"> </w:t>
      </w:r>
    </w:p>
    <w:p>
      <w:pPr>
        <w:pStyle w:val="Normal"/>
        <w:keepNext w:val="true"/>
        <w:keepLines/>
        <w:ind w:left="426" w:hanging="0"/>
        <w:jc w:val="both"/>
        <w:rPr>
          <w:rFonts w:eastAsia="Calibri"/>
          <w:sz w:val="24"/>
          <w:szCs w:val="26"/>
        </w:rPr>
      </w:pPr>
      <w:r>
        <w:rPr>
          <w:rFonts w:eastAsia="Calibri"/>
          <w:sz w:val="24"/>
          <w:szCs w:val="26"/>
        </w:rPr>
        <w:t>Устранение дефектов бетонной кладки в спиральной камере с целью предотвращения попадания профильтровавшейся воды на действующее оборудование ГЭС, а также проведение текущего ремонта поверхностей технических помещений, находящихся под давлением воды со стороны верхнего бьефа  в секции гидроагрегата №1 Новосибирской ГЭС с ремонтом спусков в помещения осушающих устройств.</w:t>
      </w:r>
    </w:p>
    <w:p>
      <w:pPr>
        <w:pStyle w:val="Heading4"/>
        <w:numPr>
          <w:ilvl w:val="1"/>
          <w:numId w:val="3"/>
        </w:numPr>
        <w:rPr/>
      </w:pPr>
      <w:bookmarkStart w:id="9" w:name="_Toc46743508"/>
      <w:bookmarkStart w:id="10" w:name="_Toc226049734"/>
      <w:r>
        <w:rPr/>
        <w:t>Существующее положение</w:t>
      </w:r>
      <w:bookmarkEnd w:id="9"/>
      <w:bookmarkEnd w:id="10"/>
      <w:r>
        <w:rPr>
          <w:lang w:val="ru-RU"/>
        </w:rPr>
        <w:t xml:space="preserve"> </w:t>
      </w:r>
    </w:p>
    <w:p>
      <w:pPr>
        <w:pStyle w:val="Normal"/>
        <w:keepNext w:val="true"/>
        <w:keepLines/>
        <w:ind w:left="426" w:hanging="0"/>
        <w:jc w:val="both"/>
        <w:rPr>
          <w:rFonts w:eastAsia="Calibri"/>
          <w:sz w:val="24"/>
          <w:szCs w:val="26"/>
        </w:rPr>
      </w:pPr>
      <w:r>
        <w:rPr>
          <w:rFonts w:eastAsia="Calibri"/>
          <w:sz w:val="24"/>
          <w:szCs w:val="26"/>
        </w:rPr>
        <w:t>Типовая секция агрегатного блока Новосибирской ГЭС состоит из: спиральной камеры; отсасывающих труб (3 штуки); донных водосбросов, огибающих помещение осушающих устройств; шахты турбины; шахты генератора; отсека кабельного канала и тремя рабочими площадками на отметках 104.00, 105.85 и 109.00, где размещено станционное энергетическое и технологическое оборудование.</w:t>
      </w:r>
    </w:p>
    <w:p>
      <w:pPr>
        <w:pStyle w:val="Normal"/>
        <w:keepNext w:val="true"/>
        <w:keepLines/>
        <w:ind w:left="426" w:hanging="0"/>
        <w:jc w:val="both"/>
        <w:rPr>
          <w:rFonts w:eastAsia="Calibri"/>
          <w:sz w:val="24"/>
          <w:szCs w:val="26"/>
        </w:rPr>
      </w:pPr>
      <w:r>
        <w:rPr>
          <w:rFonts w:eastAsia="Calibri"/>
          <w:sz w:val="24"/>
          <w:szCs w:val="26"/>
        </w:rPr>
        <w:t>Из-за дефектов в бетонной кладке спиральной камеры и помещений, находящихся под давлением воды верхнего бьефа возникают как постоянные, так и периодически (сезонные) места фильтрации с выходом воды на рабочие отметки и в технологические помещения и попаданием на действующее оборудование.</w:t>
      </w:r>
    </w:p>
    <w:p>
      <w:pPr>
        <w:pStyle w:val="Normal"/>
        <w:keepNext w:val="true"/>
        <w:keepLines/>
        <w:ind w:left="426" w:hanging="0"/>
        <w:jc w:val="both"/>
        <w:rPr>
          <w:rFonts w:eastAsia="Calibri"/>
          <w:sz w:val="24"/>
          <w:szCs w:val="26"/>
        </w:rPr>
      </w:pPr>
      <w:r>
        <w:rPr>
          <w:rFonts w:eastAsia="Calibri"/>
          <w:sz w:val="24"/>
          <w:szCs w:val="26"/>
        </w:rPr>
        <w:t>В настоящее время профильтровавшаяся вода собирается системой лотков и отводится в нижний бьеф.</w:t>
      </w:r>
    </w:p>
    <w:p>
      <w:pPr>
        <w:pStyle w:val="Normal"/>
        <w:keepNext w:val="true"/>
        <w:keepLines/>
        <w:ind w:left="426" w:hanging="0"/>
        <w:jc w:val="both"/>
        <w:rPr>
          <w:rFonts w:eastAsia="Calibri"/>
          <w:sz w:val="24"/>
          <w:szCs w:val="26"/>
        </w:rPr>
      </w:pPr>
      <w:r>
        <w:rPr>
          <w:rFonts w:eastAsia="Calibri"/>
          <w:sz w:val="24"/>
          <w:szCs w:val="26"/>
        </w:rPr>
        <w:t>В 2019 году специализированной организацией по результатам обследования спиральных камер и помещений, находящихся под давлением воды верхнего бьефа были выявлены и классифицированы дефекты на их бетонных поверхностях, определены объемы и даны рекомендации по способу их устранения.</w:t>
      </w:r>
    </w:p>
    <w:p>
      <w:pPr>
        <w:pStyle w:val="Normal"/>
        <w:keepNext w:val="true"/>
        <w:keepLines/>
        <w:ind w:left="426" w:hanging="0"/>
        <w:jc w:val="both"/>
        <w:rPr>
          <w:rFonts w:eastAsia="Calibri"/>
          <w:sz w:val="24"/>
          <w:szCs w:val="26"/>
        </w:rPr>
      </w:pPr>
      <w:r>
        <w:rPr>
          <w:rFonts w:eastAsia="Calibri"/>
          <w:sz w:val="24"/>
          <w:szCs w:val="26"/>
        </w:rPr>
        <w:t>Кроме того, в технических помещениях гидроагрегатного блока №1, имеются в наличии дефекты на рабочих отметках 85.70 – 109.00: - штукатурного слоя стен и потолков, пола, выполненного из керамогранита, дренажной отводящей системы, также отслоение штукатурного слоя покрытия стен ниши силового трансформатора.</w:t>
      </w:r>
    </w:p>
    <w:p>
      <w:pPr>
        <w:pStyle w:val="Heading4"/>
        <w:numPr>
          <w:ilvl w:val="0"/>
        </w:numPr>
        <w:tabs>
          <w:tab w:val="clear" w:pos="0"/>
        </w:tabs>
        <w:ind w:left="432" w:hanging="0"/>
        <w:rPr/>
      </w:pPr>
      <w:bookmarkStart w:id="11" w:name="_Toc226049735"/>
      <w:r>
        <w:rPr/>
        <w:t>Таблица 1</w:t>
      </w:r>
      <w:r>
        <w:rPr>
          <w:lang w:val="ru-RU"/>
        </w:rPr>
        <w:t>.</w:t>
      </w:r>
      <w:r>
        <w:rPr/>
        <w:t xml:space="preserve"> </w:t>
      </w:r>
      <w:r>
        <w:rPr>
          <w:lang w:val="ru-RU"/>
        </w:rPr>
        <w:t>Перечень объектов заказчика</w:t>
      </w:r>
      <w:bookmarkEnd w:id="11"/>
    </w:p>
    <w:tbl>
      <w:tblPr>
        <w:tblW w:w="1020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817"/>
        <w:gridCol w:w="1847"/>
        <w:gridCol w:w="2994"/>
        <w:gridCol w:w="2417"/>
        <w:gridCol w:w="2126"/>
      </w:tblGrid>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w:t>
            </w:r>
          </w:p>
          <w:p>
            <w:pPr>
              <w:pStyle w:val="Normal"/>
              <w:widowControl w:val="false"/>
              <w:rPr>
                <w:sz w:val="24"/>
                <w:szCs w:val="24"/>
              </w:rPr>
            </w:pPr>
            <w:r>
              <w:rPr>
                <w:sz w:val="24"/>
                <w:szCs w:val="24"/>
              </w:rPr>
              <w:t>п/п</w:t>
            </w:r>
          </w:p>
        </w:tc>
        <w:tc>
          <w:tcPr>
            <w:tcW w:w="18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объекта</w:t>
            </w:r>
          </w:p>
          <w:p>
            <w:pPr>
              <w:pStyle w:val="Normal"/>
              <w:widowControl w:val="false"/>
              <w:jc w:val="center"/>
              <w:rPr>
                <w:sz w:val="24"/>
                <w:szCs w:val="24"/>
              </w:rPr>
            </w:pPr>
            <w:r>
              <w:rPr>
                <w:sz w:val="24"/>
                <w:szCs w:val="24"/>
              </w:rPr>
            </w:r>
          </w:p>
        </w:tc>
        <w:tc>
          <w:tcPr>
            <w:tcW w:w="29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 xml:space="preserve">Расположение объекта </w:t>
              <w:br/>
            </w:r>
            <w:r>
              <w:rPr>
                <w:i/>
                <w:iCs/>
                <w:sz w:val="24"/>
                <w:szCs w:val="24"/>
              </w:rPr>
              <w:t>(место производства работ)</w:t>
            </w:r>
          </w:p>
        </w:tc>
        <w:tc>
          <w:tcPr>
            <w:tcW w:w="24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 xml:space="preserve">Наименование основного средства </w:t>
              <w:br/>
              <w:t>(в отношении которого выполняются работы)</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Примечания</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18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29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4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5</w:t>
            </w:r>
          </w:p>
        </w:tc>
      </w:tr>
      <w:tr>
        <w:trPr>
          <w:trHeight w:val="881"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18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lang w:val="en-US"/>
              </w:rPr>
            </w:pPr>
            <w:r>
              <w:rPr>
                <w:sz w:val="24"/>
                <w:szCs w:val="24"/>
              </w:rPr>
              <w:t>Блок гидроагрегата №</w:t>
            </w:r>
            <w:r>
              <w:rPr>
                <w:sz w:val="24"/>
                <w:szCs w:val="24"/>
                <w:lang w:val="en-US"/>
              </w:rPr>
              <w:t>1</w:t>
            </w:r>
          </w:p>
        </w:tc>
        <w:tc>
          <w:tcPr>
            <w:tcW w:w="2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Российская Федерация, Новосибирская область, город Новосибирск, улица Новоморская, дом 4</w:t>
            </w:r>
          </w:p>
        </w:tc>
        <w:tc>
          <w:tcPr>
            <w:tcW w:w="24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Здание гидростанции, подводное сооружение,</w:t>
            </w:r>
          </w:p>
          <w:p>
            <w:pPr>
              <w:pStyle w:val="Normal"/>
              <w:widowControl w:val="false"/>
              <w:jc w:val="center"/>
              <w:rPr>
                <w:sz w:val="24"/>
                <w:szCs w:val="24"/>
              </w:rPr>
            </w:pPr>
            <w:r>
              <w:rPr>
                <w:sz w:val="24"/>
                <w:szCs w:val="24"/>
              </w:rPr>
              <w:t>литер А1, инв.№НВ0000107761</w:t>
            </w:r>
          </w:p>
        </w:tc>
        <w:tc>
          <w:tcPr>
            <w:tcW w:w="2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iCs/>
                <w:sz w:val="22"/>
                <w:szCs w:val="22"/>
              </w:rPr>
              <w:t>Эксплуатирующая организация: Филиал ПАО «РусГидро» - «Новосибирская ГЭС»</w:t>
            </w:r>
          </w:p>
        </w:tc>
      </w:tr>
    </w:tbl>
    <w:p>
      <w:pPr>
        <w:pStyle w:val="Heading4"/>
        <w:numPr>
          <w:ilvl w:val="0"/>
        </w:numPr>
        <w:tabs>
          <w:tab w:val="clear" w:pos="0"/>
        </w:tabs>
        <w:ind w:left="432" w:hanging="0"/>
        <w:rPr>
          <w:b w:val="false"/>
          <w:lang w:val="ru-RU"/>
        </w:rPr>
      </w:pPr>
      <w:bookmarkStart w:id="12" w:name="_Toc226049736"/>
      <w:r>
        <w:rPr>
          <w:b w:val="false"/>
          <w:lang w:val="ru-RU"/>
        </w:rPr>
        <w:t>Условия производства работ:</w:t>
      </w:r>
      <w:bookmarkEnd w:id="12"/>
      <w:r>
        <w:rPr>
          <w:b w:val="false"/>
          <w:lang w:val="ru-RU"/>
        </w:rPr>
        <w:t xml:space="preserve"> </w:t>
      </w:r>
    </w:p>
    <w:p>
      <w:pPr>
        <w:pStyle w:val="ListParagraph"/>
        <w:numPr>
          <w:ilvl w:val="0"/>
          <w:numId w:val="10"/>
        </w:numPr>
        <w:jc w:val="both"/>
        <w:rPr>
          <w:lang w:eastAsia="x-none"/>
        </w:rPr>
      </w:pPr>
      <w:r>
        <w:rPr>
          <w:lang w:eastAsia="x-none"/>
        </w:rPr>
        <w:t>производство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т.п.) или движения транспорта по внутрицеховым путям,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p>
      <w:pPr>
        <w:pStyle w:val="ListParagraph"/>
        <w:numPr>
          <w:ilvl w:val="0"/>
          <w:numId w:val="10"/>
        </w:numPr>
        <w:jc w:val="both"/>
        <w:rPr>
          <w:lang w:eastAsia="x-none"/>
        </w:rPr>
      </w:pPr>
      <w:r>
        <w:rPr>
          <w:lang w:eastAsia="x-none"/>
        </w:rPr>
        <w:t>производство работ вблизи объектов, находящихся под высоким напряжением (кабельная галерея);</w:t>
      </w:r>
    </w:p>
    <w:p>
      <w:pPr>
        <w:pStyle w:val="ListParagraph"/>
        <w:numPr>
          <w:ilvl w:val="0"/>
          <w:numId w:val="10"/>
        </w:numPr>
        <w:jc w:val="both"/>
        <w:rPr>
          <w:lang w:eastAsia="x-none"/>
        </w:rPr>
      </w:pPr>
      <w:r>
        <w:rPr>
          <w:lang w:eastAsia="x-none"/>
        </w:rPr>
        <w:t>производство работ на высоте (до 12 м);</w:t>
      </w:r>
    </w:p>
    <w:p>
      <w:pPr>
        <w:pStyle w:val="ListParagraph"/>
        <w:numPr>
          <w:ilvl w:val="0"/>
          <w:numId w:val="10"/>
        </w:numPr>
        <w:jc w:val="both"/>
        <w:rPr>
          <w:lang w:eastAsia="x-none"/>
        </w:rPr>
      </w:pPr>
      <w:r>
        <w:rPr>
          <w:lang w:eastAsia="x-none"/>
        </w:rPr>
        <w:t>производство работ в закрытых сооружениях (помещениях) находящихся ниже 3 м от поверхности земли (осушенные проточные части гидроагрегата);</w:t>
      </w:r>
    </w:p>
    <w:p>
      <w:pPr>
        <w:pStyle w:val="ListParagraph"/>
        <w:numPr>
          <w:ilvl w:val="0"/>
          <w:numId w:val="10"/>
        </w:numPr>
        <w:jc w:val="both"/>
        <w:rPr>
          <w:lang w:eastAsia="x-none"/>
        </w:rPr>
      </w:pPr>
      <w:r>
        <w:rPr>
          <w:lang w:eastAsia="x-none"/>
        </w:rPr>
        <w:t>производство работ с применением сборных лесов;</w:t>
      </w:r>
    </w:p>
    <w:p>
      <w:pPr>
        <w:pStyle w:val="ListParagraph"/>
        <w:numPr>
          <w:ilvl w:val="0"/>
          <w:numId w:val="10"/>
        </w:numPr>
        <w:jc w:val="both"/>
        <w:rPr>
          <w:lang w:eastAsia="x-none"/>
        </w:rPr>
      </w:pPr>
      <w:r>
        <w:rPr>
          <w:lang w:eastAsia="x-none"/>
        </w:rPr>
        <w:t>производство работ, требующих применение систем, обеспечивающих страховку, удержание и эвакуацию;</w:t>
      </w:r>
    </w:p>
    <w:p>
      <w:pPr>
        <w:pStyle w:val="ListParagraph"/>
        <w:numPr>
          <w:ilvl w:val="0"/>
          <w:numId w:val="10"/>
        </w:numPr>
        <w:jc w:val="both"/>
        <w:rPr>
          <w:szCs w:val="26"/>
        </w:rPr>
      </w:pPr>
      <w:r>
        <w:rPr>
          <w:szCs w:val="26"/>
        </w:rPr>
        <w:t>производство работ с применением лебедок.</w:t>
      </w:r>
    </w:p>
    <w:p>
      <w:pPr>
        <w:pStyle w:val="ListParagraph"/>
        <w:ind w:left="0" w:hanging="0"/>
        <w:jc w:val="both"/>
        <w:rPr>
          <w:szCs w:val="26"/>
        </w:rPr>
      </w:pPr>
      <w:r>
        <w:rPr>
          <w:szCs w:val="26"/>
        </w:rPr>
      </w:r>
    </w:p>
    <w:p>
      <w:pPr>
        <w:pStyle w:val="ListParagraph"/>
        <w:ind w:left="0" w:hanging="0"/>
        <w:jc w:val="both"/>
        <w:rPr>
          <w:szCs w:val="26"/>
        </w:rPr>
      </w:pPr>
      <w:r>
        <w:rPr/>
        <w:tab/>
      </w:r>
      <w:r>
        <w:rPr>
          <w:szCs w:val="26"/>
        </w:rPr>
        <w:t>Кроме того, предусмотреть размер резерва средств на непредвиденные работы и затраты производственного назначения - 3%.</w:t>
      </w:r>
    </w:p>
    <w:p>
      <w:pPr>
        <w:pStyle w:val="Heading4"/>
        <w:numPr>
          <w:ilvl w:val="1"/>
          <w:numId w:val="3"/>
        </w:numPr>
        <w:rPr>
          <w:lang w:val="ru-RU"/>
        </w:rPr>
      </w:pPr>
      <w:bookmarkStart w:id="13" w:name="_Toc226049737"/>
      <w:r>
        <w:rPr/>
        <w:t xml:space="preserve">Информация в отношении исполнения договора, </w:t>
      </w:r>
      <w:bookmarkStart w:id="14" w:name="_Hlk46492347"/>
      <w:r>
        <w:rPr/>
        <w:t xml:space="preserve">которая должна быть учтена при подготовке заявки </w:t>
      </w:r>
      <w:bookmarkEnd w:id="14"/>
      <w:r>
        <w:rPr/>
        <w:t xml:space="preserve">(в том числе перечень ресурсов, услуг и документов, предоставляемых </w:t>
      </w:r>
      <w:r>
        <w:rPr>
          <w:lang w:val="ru-RU"/>
        </w:rPr>
        <w:t>заказчиком</w:t>
      </w:r>
      <w:r>
        <w:rPr/>
        <w:t xml:space="preserve"> на этапе исполнения договора)</w:t>
      </w:r>
      <w:bookmarkEnd w:id="13"/>
      <w:r>
        <w:rPr>
          <w:lang w:val="ru-RU"/>
        </w:rPr>
        <w:t xml:space="preserve"> </w:t>
      </w:r>
      <w:bookmarkStart w:id="15" w:name="_Hlk48209761"/>
    </w:p>
    <w:p>
      <w:pPr>
        <w:pStyle w:val="Normal"/>
        <w:ind w:left="426" w:hanging="0"/>
        <w:jc w:val="both"/>
        <w:rPr>
          <w:sz w:val="24"/>
          <w:lang w:eastAsia="x-none"/>
        </w:rPr>
      </w:pPr>
      <w:r>
        <w:rPr>
          <w:sz w:val="24"/>
          <w:lang w:eastAsia="x-none"/>
        </w:rPr>
        <w:t>На период выполнения работ Заказчиком безвозмездно предоставляются Подрядчику следующие ресурсы:</w:t>
      </w:r>
    </w:p>
    <w:p>
      <w:pPr>
        <w:pStyle w:val="ListParagraph"/>
        <w:numPr>
          <w:ilvl w:val="0"/>
          <w:numId w:val="10"/>
        </w:numPr>
        <w:jc w:val="both"/>
        <w:rPr>
          <w:lang w:eastAsia="x-none"/>
        </w:rPr>
      </w:pPr>
      <w:r>
        <w:rPr>
          <w:lang w:eastAsia="x-none"/>
        </w:rPr>
        <w:t>электроэнергия для подключения оборудования;</w:t>
      </w:r>
    </w:p>
    <w:p>
      <w:pPr>
        <w:pStyle w:val="ListParagraph"/>
        <w:numPr>
          <w:ilvl w:val="0"/>
          <w:numId w:val="10"/>
        </w:numPr>
        <w:jc w:val="both"/>
        <w:rPr>
          <w:lang w:eastAsia="x-none"/>
        </w:rPr>
      </w:pPr>
      <w:r>
        <w:rPr>
          <w:lang w:eastAsia="x-none"/>
        </w:rPr>
        <w:t>сжатый воздух рабочим давлением до 8 кг/см</w:t>
      </w:r>
      <w:r>
        <w:rPr>
          <w:vertAlign w:val="superscript"/>
          <w:lang w:eastAsia="x-none"/>
        </w:rPr>
        <w:t>2</w:t>
      </w:r>
      <w:r>
        <w:rPr>
          <w:lang w:eastAsia="x-none"/>
        </w:rPr>
        <w:t>;</w:t>
      </w:r>
    </w:p>
    <w:p>
      <w:pPr>
        <w:pStyle w:val="ListParagraph"/>
        <w:numPr>
          <w:ilvl w:val="0"/>
          <w:numId w:val="10"/>
        </w:numPr>
        <w:jc w:val="both"/>
        <w:rPr>
          <w:lang w:eastAsia="x-none"/>
        </w:rPr>
      </w:pPr>
      <w:r>
        <w:rPr>
          <w:lang w:eastAsia="x-none"/>
        </w:rPr>
        <w:t>техническая вода;</w:t>
        <w:tab/>
      </w:r>
    </w:p>
    <w:p>
      <w:pPr>
        <w:pStyle w:val="ListParagraph"/>
        <w:numPr>
          <w:ilvl w:val="0"/>
          <w:numId w:val="10"/>
        </w:numPr>
        <w:jc w:val="both"/>
        <w:rPr>
          <w:lang w:eastAsia="x-none"/>
        </w:rPr>
      </w:pPr>
      <w:r>
        <w:rPr>
          <w:lang w:eastAsia="x-none"/>
        </w:rPr>
        <w:t>площадка для размещения бытовки для персонала подрядчика;</w:t>
      </w:r>
    </w:p>
    <w:p>
      <w:pPr>
        <w:pStyle w:val="ListParagraph"/>
        <w:numPr>
          <w:ilvl w:val="0"/>
          <w:numId w:val="10"/>
        </w:numPr>
        <w:jc w:val="both"/>
        <w:rPr>
          <w:lang w:eastAsia="x-none"/>
        </w:rPr>
      </w:pPr>
      <w:r>
        <w:rPr>
          <w:lang w:eastAsia="x-none"/>
        </w:rPr>
        <w:t>площадки для погрузки, разгрузки, хранения материально-технических ресурсов, оборудования подрядчика.</w:t>
      </w:r>
    </w:p>
    <w:p>
      <w:pPr>
        <w:pStyle w:val="Normal"/>
        <w:tabs>
          <w:tab w:val="clear" w:pos="708"/>
          <w:tab w:val="left" w:pos="450" w:leader="none"/>
        </w:tabs>
        <w:ind w:firstLine="850"/>
        <w:jc w:val="both"/>
        <w:rPr>
          <w:sz w:val="24"/>
          <w:szCs w:val="24"/>
          <w:lang w:eastAsia="x-none"/>
        </w:rPr>
      </w:pPr>
      <w:r>
        <w:rPr>
          <w:sz w:val="24"/>
          <w:szCs w:val="24"/>
          <w:lang w:eastAsia="x-none"/>
        </w:rPr>
        <w:t>Передача давальческих материалов и оборудования от Заказчика Подрядчику не предусматривается.</w:t>
      </w:r>
    </w:p>
    <w:p>
      <w:pPr>
        <w:pStyle w:val="Heading1"/>
        <w:keepLines/>
        <w:numPr>
          <w:ilvl w:val="0"/>
          <w:numId w:val="3"/>
        </w:numPr>
        <w:ind w:left="357" w:hanging="357"/>
        <w:jc w:val="center"/>
        <w:rPr>
          <w:iCs/>
          <w:caps/>
          <w:lang w:val="ru-RU"/>
        </w:rPr>
      </w:pPr>
      <w:bookmarkStart w:id="16" w:name="_Toc51339693"/>
      <w:bookmarkStart w:id="17" w:name="_Toc226049738"/>
      <w:bookmarkEnd w:id="15"/>
      <w:r>
        <w:rPr>
          <w:iCs/>
        </w:rPr>
        <w:t>Требования к продукции</w:t>
      </w:r>
      <w:bookmarkEnd w:id="16"/>
      <w:bookmarkEnd w:id="17"/>
    </w:p>
    <w:p>
      <w:pPr>
        <w:pStyle w:val="Heading4"/>
        <w:numPr>
          <w:ilvl w:val="1"/>
          <w:numId w:val="3"/>
        </w:numPr>
        <w:rPr/>
      </w:pPr>
      <w:bookmarkStart w:id="18" w:name="_Toc226049739"/>
      <w:r>
        <w:rPr/>
        <w:t xml:space="preserve">Требования к объемам и срокам </w:t>
      </w:r>
      <w:r>
        <w:rPr>
          <w:lang w:val="ru-RU"/>
        </w:rPr>
        <w:t>выполнения работ</w:t>
      </w:r>
      <w:bookmarkEnd w:id="18"/>
    </w:p>
    <w:p>
      <w:pPr>
        <w:pStyle w:val="Heading3"/>
        <w:numPr>
          <w:ilvl w:val="2"/>
          <w:numId w:val="3"/>
        </w:numPr>
        <w:rPr/>
      </w:pPr>
      <w:bookmarkStart w:id="19" w:name="_Toc226049740"/>
      <w:r>
        <w:rPr>
          <w:lang w:val="ru-RU"/>
        </w:rPr>
        <w:t>Требования к видам и объемам работ</w:t>
      </w:r>
      <w:bookmarkEnd w:id="19"/>
    </w:p>
    <w:p>
      <w:pPr>
        <w:pStyle w:val="Heading1"/>
        <w:keepLines/>
        <w:numPr>
          <w:ilvl w:val="0"/>
          <w:numId w:val="0"/>
        </w:numPr>
        <w:spacing w:before="240" w:after="60"/>
        <w:ind w:left="0" w:hanging="0"/>
        <w:rPr>
          <w:sz w:val="24"/>
          <w:szCs w:val="24"/>
          <w:lang w:val="ru-RU"/>
        </w:rPr>
      </w:pPr>
      <w:bookmarkStart w:id="20" w:name="_Toc226049741"/>
      <w:bookmarkStart w:id="21" w:name="_Toc51339695"/>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21"/>
      <w:r>
        <w:rPr>
          <w:sz w:val="24"/>
          <w:szCs w:val="24"/>
          <w:lang w:val="ru-RU"/>
        </w:rPr>
        <w:t>и объем выполняемых работ</w:t>
      </w:r>
      <w:bookmarkEnd w:id="20"/>
    </w:p>
    <w:tbl>
      <w:tblPr>
        <w:tblW w:w="9810" w:type="dxa"/>
        <w:jc w:val="left"/>
        <w:tblInd w:w="221" w:type="dxa"/>
        <w:tblLayout w:type="fixed"/>
        <w:tblCellMar>
          <w:top w:w="0" w:type="dxa"/>
          <w:left w:w="108" w:type="dxa"/>
          <w:bottom w:w="0" w:type="dxa"/>
          <w:right w:w="108" w:type="dxa"/>
        </w:tblCellMar>
        <w:tblLook w:val="0000" w:noHBand="0" w:noVBand="0" w:firstColumn="0" w:lastRow="0" w:lastColumn="0" w:firstRow="0"/>
      </w:tblPr>
      <w:tblGrid>
        <w:gridCol w:w="828"/>
        <w:gridCol w:w="5729"/>
        <w:gridCol w:w="1551"/>
        <w:gridCol w:w="1701"/>
      </w:tblGrid>
      <w:tr>
        <w:trPr/>
        <w:tc>
          <w:tcPr>
            <w:tcW w:w="828"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572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работ / этапа работ</w:t>
            </w:r>
          </w:p>
        </w:tc>
        <w:tc>
          <w:tcPr>
            <w:tcW w:w="155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572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5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c>
          <w:tcPr>
            <w:tcW w:w="828"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rPr/>
            </w:pPr>
            <w:r>
              <w:rPr/>
            </w:r>
          </w:p>
        </w:tc>
        <w:tc>
          <w:tcPr>
            <w:tcW w:w="57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Нанесение защитного состава на поверхности проточных частей гидроагрегата</w:t>
            </w:r>
          </w:p>
        </w:tc>
        <w:tc>
          <w:tcPr>
            <w:tcW w:w="3252" w:type="dxa"/>
            <w:gridSpan w:val="2"/>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iCs/>
                <w:sz w:val="24"/>
                <w:szCs w:val="24"/>
              </w:rPr>
              <w:t>В соответствии с ведомостью объемов работ (Приложение №1 к настоящим Техническим требованиям)</w:t>
            </w:r>
          </w:p>
        </w:tc>
      </w:tr>
      <w:tr>
        <w:trPr/>
        <w:tc>
          <w:tcPr>
            <w:tcW w:w="828"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rPr/>
            </w:pPr>
            <w:r>
              <w:rPr/>
            </w:r>
          </w:p>
        </w:tc>
        <w:tc>
          <w:tcPr>
            <w:tcW w:w="57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Устранение локальных дефектов</w:t>
            </w:r>
          </w:p>
        </w:tc>
        <w:tc>
          <w:tcPr>
            <w:tcW w:w="3252"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tc>
      </w:tr>
      <w:tr>
        <w:trPr/>
        <w:tc>
          <w:tcPr>
            <w:tcW w:w="828"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rPr/>
            </w:pPr>
            <w:r>
              <w:rPr/>
            </w:r>
          </w:p>
        </w:tc>
        <w:tc>
          <w:tcPr>
            <w:tcW w:w="57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Инъекция полиуретановыми смолами швов и трещин монолитных конструкций</w:t>
            </w:r>
          </w:p>
        </w:tc>
        <w:tc>
          <w:tcPr>
            <w:tcW w:w="3252"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tc>
      </w:tr>
      <w:tr>
        <w:trPr/>
        <w:tc>
          <w:tcPr>
            <w:tcW w:w="828"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4.</w:t>
            </w:r>
          </w:p>
        </w:tc>
        <w:tc>
          <w:tcPr>
            <w:tcW w:w="57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Ремонт поверхностей помещений</w:t>
            </w:r>
          </w:p>
        </w:tc>
        <w:tc>
          <w:tcPr>
            <w:tcW w:w="3252"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tc>
      </w:tr>
    </w:tbl>
    <w:p>
      <w:pPr>
        <w:pStyle w:val="Normal"/>
        <w:widowControl w:val="false"/>
        <w:tabs>
          <w:tab w:val="clear" w:pos="708"/>
          <w:tab w:val="left" w:pos="426" w:leader="none"/>
        </w:tabs>
        <w:spacing w:before="120" w:after="120"/>
        <w:ind w:firstLine="142"/>
        <w:rPr>
          <w:bCs/>
          <w:sz w:val="16"/>
          <w:szCs w:val="16"/>
          <w:shd w:fill="FFFF99" w:val="clear"/>
        </w:rPr>
      </w:pPr>
      <w:r>
        <w:rPr>
          <w:bCs/>
          <w:sz w:val="16"/>
          <w:szCs w:val="16"/>
          <w:shd w:fill="FFFF99" w:val="clear"/>
        </w:rPr>
      </w:r>
    </w:p>
    <w:p>
      <w:pPr>
        <w:pStyle w:val="Heading3"/>
        <w:numPr>
          <w:ilvl w:val="2"/>
          <w:numId w:val="3"/>
        </w:numPr>
        <w:rPr>
          <w:lang w:val="ru-RU"/>
        </w:rPr>
      </w:pPr>
      <w:bookmarkStart w:id="22" w:name="_Toc226049742"/>
      <w:bookmarkStart w:id="23" w:name="_Toc51339696"/>
      <w:r>
        <w:rPr>
          <w:lang w:val="ru-RU"/>
        </w:rPr>
        <w:t xml:space="preserve">Требования </w:t>
      </w:r>
      <w:bookmarkEnd w:id="23"/>
      <w:r>
        <w:rPr>
          <w:lang w:val="ru-RU"/>
        </w:rPr>
        <w:t>к срокам выполнения работ</w:t>
      </w:r>
      <w:bookmarkEnd w:id="22"/>
    </w:p>
    <w:p>
      <w:pPr>
        <w:pStyle w:val="Heading1"/>
        <w:keepLines/>
        <w:numPr>
          <w:ilvl w:val="0"/>
          <w:numId w:val="0"/>
        </w:numPr>
        <w:spacing w:before="240" w:after="60"/>
        <w:ind w:left="0" w:hanging="0"/>
        <w:rPr>
          <w:sz w:val="24"/>
          <w:szCs w:val="24"/>
          <w:lang w:val="ru-RU"/>
        </w:rPr>
      </w:pPr>
      <w:bookmarkStart w:id="24" w:name="_Toc226049743"/>
      <w:bookmarkStart w:id="25" w:name="_Toc50125127"/>
      <w:bookmarkStart w:id="26" w:name="_Toc51339697"/>
      <w:bookmarkStart w:id="27" w:name="_Toc50125126"/>
      <w:bookmarkEnd w:id="27"/>
      <w:r>
        <w:rPr>
          <w:sz w:val="24"/>
          <w:szCs w:val="24"/>
        </w:rPr>
        <w:t xml:space="preserve">Таблица </w:t>
      </w:r>
      <w:r>
        <w:rPr>
          <w:sz w:val="24"/>
          <w:szCs w:val="24"/>
          <w:lang w:val="ru-RU"/>
        </w:rPr>
        <w:t>3</w:t>
      </w:r>
      <w:r>
        <w:rPr>
          <w:sz w:val="24"/>
          <w:szCs w:val="24"/>
        </w:rPr>
        <w:t xml:space="preserve">. </w:t>
      </w:r>
      <w:bookmarkStart w:id="28" w:name="_Hlk50465284"/>
      <w:r>
        <w:rPr>
          <w:sz w:val="24"/>
          <w:szCs w:val="24"/>
        </w:rPr>
        <w:t xml:space="preserve">Требования по срокам </w:t>
      </w:r>
      <w:bookmarkEnd w:id="25"/>
      <w:bookmarkEnd w:id="26"/>
      <w:bookmarkEnd w:id="28"/>
      <w:r>
        <w:rPr>
          <w:sz w:val="24"/>
          <w:szCs w:val="24"/>
          <w:lang w:val="ru-RU"/>
        </w:rPr>
        <w:t>выполнения работ</w:t>
      </w:r>
      <w:bookmarkEnd w:id="24"/>
    </w:p>
    <w:tbl>
      <w:tblPr>
        <w:tblW w:w="9776"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1133"/>
        <w:gridCol w:w="3261"/>
        <w:gridCol w:w="2546"/>
        <w:gridCol w:w="2835"/>
      </w:tblGrid>
      <w:tr>
        <w:trPr/>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32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работ/ этапа работ</w:t>
            </w:r>
          </w:p>
        </w:tc>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выполнения работ/ этапа работ</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выполнения работ / этапа работ</w:t>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1</w:t>
            </w:r>
          </w:p>
        </w:tc>
        <w:tc>
          <w:tcPr>
            <w:tcW w:w="326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2</w:t>
            </w:r>
          </w:p>
        </w:tc>
        <w:tc>
          <w:tcPr>
            <w:tcW w:w="2546" w:type="dxa"/>
            <w:tcBorders>
              <w:top w:val="single" w:sz="4" w:space="0" w:color="000000"/>
              <w:left w:val="single" w:sz="4" w:space="0" w:color="000000"/>
              <w:bottom w:val="single" w:sz="4" w:space="0" w:color="000000"/>
              <w:right w:val="single" w:sz="4" w:space="0" w:color="000000"/>
            </w:tcBorders>
          </w:tcPr>
          <w:p>
            <w:pPr>
              <w:pStyle w:val="Style28"/>
              <w:keepNext w:val="false"/>
              <w:widowControl w:val="false"/>
              <w:spacing w:before="40" w:after="40"/>
              <w:jc w:val="center"/>
              <w:rPr>
                <w:sz w:val="24"/>
                <w:szCs w:val="24"/>
              </w:rPr>
            </w:pPr>
            <w:r>
              <w:rPr>
                <w:b/>
                <w:sz w:val="24"/>
                <w:szCs w:val="24"/>
              </w:rPr>
              <w:t>3</w:t>
            </w:r>
          </w:p>
        </w:tc>
        <w:tc>
          <w:tcPr>
            <w:tcW w:w="2835" w:type="dxa"/>
            <w:tcBorders>
              <w:top w:val="single" w:sz="4" w:space="0" w:color="000000"/>
              <w:left w:val="single" w:sz="4" w:space="0" w:color="000000"/>
              <w:bottom w:val="single" w:sz="4" w:space="0" w:color="000000"/>
              <w:right w:val="single" w:sz="4" w:space="0" w:color="000000"/>
            </w:tcBorders>
          </w:tcPr>
          <w:p>
            <w:pPr>
              <w:pStyle w:val="Style28"/>
              <w:keepNext w:val="false"/>
              <w:widowControl w:val="false"/>
              <w:spacing w:before="40" w:after="40"/>
              <w:jc w:val="center"/>
              <w:rPr>
                <w:sz w:val="24"/>
                <w:szCs w:val="24"/>
              </w:rPr>
            </w:pPr>
            <w:r>
              <w:rPr>
                <w:b/>
                <w:sz w:val="24"/>
                <w:szCs w:val="24"/>
              </w:rPr>
              <w:t>4</w:t>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9"/>
              </w:numPr>
              <w:rPr/>
            </w:pPr>
            <w:r>
              <w:rPr/>
            </w:r>
          </w:p>
        </w:tc>
        <w:tc>
          <w:tcPr>
            <w:tcW w:w="326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eastAsia="Calibri"/>
                <w:sz w:val="24"/>
                <w:szCs w:val="24"/>
              </w:rPr>
              <w:t>Текущий ремонт спиральной камеры и технических помещений гидроагрегата ст.№1 Новосибирской ГЭС</w:t>
            </w:r>
          </w:p>
        </w:tc>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iCs/>
                <w:color w:val="000000"/>
                <w:sz w:val="24"/>
                <w:szCs w:val="24"/>
              </w:rPr>
              <w:t>15.09.202</w:t>
            </w:r>
            <w:r>
              <w:rPr>
                <w:iCs/>
                <w:color w:val="000000"/>
                <w:sz w:val="24"/>
                <w:szCs w:val="24"/>
                <w:lang w:val="en-US"/>
              </w:rPr>
              <w:t>6</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bookmarkStart w:id="29" w:name="_Toc46743510"/>
            <w:r>
              <w:rPr>
                <w:iCs/>
                <w:color w:val="000000"/>
                <w:sz w:val="24"/>
                <w:szCs w:val="24"/>
              </w:rPr>
              <w:t>25.02.202</w:t>
            </w:r>
            <w:bookmarkEnd w:id="29"/>
            <w:r>
              <w:rPr>
                <w:iCs/>
                <w:color w:val="000000"/>
                <w:sz w:val="24"/>
                <w:szCs w:val="24"/>
                <w:lang w:val="en-US"/>
              </w:rPr>
              <w:t>7</w:t>
            </w:r>
          </w:p>
        </w:tc>
      </w:tr>
    </w:tbl>
    <w:p>
      <w:pPr>
        <w:sectPr>
          <w:headerReference w:type="even" r:id="rId2"/>
          <w:headerReference w:type="default" r:id="rId3"/>
          <w:headerReference w:type="first" r:id="rId4"/>
          <w:type w:val="nextPage"/>
          <w:pgSz w:w="11906" w:h="16838"/>
          <w:pgMar w:left="1134" w:right="851" w:gutter="0" w:header="680" w:top="737" w:footer="0" w:bottom="284"/>
          <w:pgNumType w:fmt="decimal"/>
          <w:formProt w:val="false"/>
          <w:titlePg/>
          <w:textDirection w:val="lrTb"/>
          <w:docGrid w:type="default" w:linePitch="360" w:charSpace="0"/>
        </w:sectPr>
      </w:pPr>
    </w:p>
    <w:p>
      <w:pPr>
        <w:pStyle w:val="Heading4"/>
        <w:numPr>
          <w:ilvl w:val="1"/>
          <w:numId w:val="3"/>
        </w:numPr>
        <w:rPr/>
      </w:pPr>
      <w:bookmarkStart w:id="30" w:name="_Toc51339698"/>
      <w:bookmarkStart w:id="31" w:name="_Toc226049744"/>
      <w:r>
        <w:rPr/>
        <w:t xml:space="preserve">Требования к </w:t>
      </w:r>
      <w:r>
        <w:rPr>
          <w:lang w:val="ru-RU"/>
        </w:rPr>
        <w:t>качеству работ</w:t>
      </w:r>
      <w:bookmarkEnd w:id="31"/>
    </w:p>
    <w:p>
      <w:pPr>
        <w:pStyle w:val="Heading1"/>
        <w:keepLines/>
        <w:numPr>
          <w:ilvl w:val="0"/>
          <w:numId w:val="0"/>
        </w:numPr>
        <w:spacing w:before="240" w:after="60"/>
        <w:ind w:left="0" w:hanging="0"/>
        <w:rPr>
          <w:sz w:val="24"/>
          <w:szCs w:val="24"/>
        </w:rPr>
      </w:pPr>
      <w:bookmarkStart w:id="32" w:name="_Toc226049745"/>
      <w:r>
        <w:rPr>
          <w:sz w:val="24"/>
          <w:szCs w:val="24"/>
        </w:rPr>
        <w:t>Таблица </w:t>
      </w:r>
      <w:r>
        <w:rPr>
          <w:sz w:val="24"/>
          <w:szCs w:val="24"/>
          <w:lang w:val="ru-RU"/>
        </w:rPr>
        <w:t>4</w:t>
      </w:r>
      <w:r>
        <w:rPr>
          <w:sz w:val="24"/>
          <w:szCs w:val="24"/>
        </w:rPr>
        <w:t xml:space="preserve">. Требования к </w:t>
      </w:r>
      <w:bookmarkEnd w:id="30"/>
      <w:r>
        <w:rPr>
          <w:sz w:val="24"/>
          <w:szCs w:val="24"/>
          <w:lang w:val="ru-RU"/>
        </w:rPr>
        <w:t>качеству работ</w:t>
      </w:r>
      <w:bookmarkEnd w:id="32"/>
      <w:r>
        <w:rPr>
          <w:sz w:val="24"/>
          <w:szCs w:val="24"/>
        </w:rPr>
        <w:t xml:space="preserve"> </w:t>
      </w:r>
    </w:p>
    <w:p>
      <w:pPr>
        <w:pStyle w:val="Normal"/>
        <w:snapToGrid w:val="false"/>
        <w:spacing w:before="0" w:after="120"/>
        <w:rPr>
          <w:rStyle w:val="Style8"/>
          <w:b w:val="false"/>
          <w:iCs/>
          <w:sz w:val="24"/>
          <w:szCs w:val="24"/>
        </w:rPr>
      </w:pPr>
      <w:r>
        <w:rPr>
          <w:b/>
          <w:bCs/>
          <w:sz w:val="24"/>
          <w:szCs w:val="24"/>
        </w:rPr>
        <w:t>Наименование работ:</w:t>
      </w:r>
      <w:r>
        <w:rPr/>
        <w:t xml:space="preserve"> </w:t>
      </w:r>
      <w:r>
        <w:rPr>
          <w:bCs/>
          <w:sz w:val="24"/>
          <w:szCs w:val="24"/>
        </w:rPr>
        <w:t>Текущий ремонт спиральной камеры и технических помещений гидроагрегата ст.№1 Новосибирской ГЭС с ремонтом спусков в помещения осушающих устройств.</w:t>
      </w:r>
    </w:p>
    <w:tbl>
      <w:tblPr>
        <w:tblStyle w:val="affff6"/>
        <w:tblW w:w="15026"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856"/>
        <w:gridCol w:w="2006"/>
        <w:gridCol w:w="4225"/>
        <w:gridCol w:w="2693"/>
        <w:gridCol w:w="2694"/>
        <w:gridCol w:w="2551"/>
      </w:tblGrid>
      <w:tr>
        <w:trPr/>
        <w:tc>
          <w:tcPr>
            <w:tcW w:w="856" w:type="dxa"/>
            <w:vMerge w:val="restart"/>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006"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4225"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Требование заказчика</w:t>
            </w:r>
          </w:p>
        </w:tc>
        <w:tc>
          <w:tcPr>
            <w:tcW w:w="5387" w:type="dxa"/>
            <w:gridSpan w:val="2"/>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c>
          <w:tcPr>
            <w:tcW w:w="2551"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Предложение участника по характеристикам и параметрам</w:t>
            </w:r>
          </w:p>
        </w:tc>
      </w:tr>
      <w:tr>
        <w:trPr/>
        <w:tc>
          <w:tcPr>
            <w:tcW w:w="856"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006"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4225"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693"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694"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c>
          <w:tcPr>
            <w:tcW w:w="2551"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r>
      <w:tr>
        <w:trPr/>
        <w:tc>
          <w:tcPr>
            <w:tcW w:w="856" w:type="dxa"/>
            <w:tcBorders/>
            <w:vAlign w:val="center"/>
          </w:tcPr>
          <w:p>
            <w:pPr>
              <w:pStyle w:val="Normal"/>
              <w:widowControl w:val="false"/>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1</w:t>
            </w:r>
          </w:p>
        </w:tc>
        <w:tc>
          <w:tcPr>
            <w:tcW w:w="2006"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2</w:t>
            </w:r>
          </w:p>
        </w:tc>
        <w:tc>
          <w:tcPr>
            <w:tcW w:w="4225"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3</w:t>
            </w:r>
          </w:p>
        </w:tc>
        <w:tc>
          <w:tcPr>
            <w:tcW w:w="269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4</w:t>
            </w:r>
          </w:p>
        </w:tc>
        <w:tc>
          <w:tcPr>
            <w:tcW w:w="2694"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5</w:t>
            </w:r>
          </w:p>
        </w:tc>
        <w:tc>
          <w:tcPr>
            <w:tcW w:w="2551"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6</w:t>
            </w:r>
          </w:p>
        </w:tc>
      </w:tr>
      <w:tr>
        <w:trPr/>
        <w:tc>
          <w:tcPr>
            <w:tcW w:w="856"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выполнению работ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b/>
                <w:bCs/>
              </w:rPr>
            </w:pPr>
            <w:r>
              <w:rPr>
                <w:b/>
                <w:bCs/>
              </w:rPr>
            </w:r>
          </w:p>
        </w:tc>
        <w:tc>
          <w:tcPr>
            <w:tcW w:w="6231" w:type="dxa"/>
            <w:gridSpan w:val="2"/>
            <w:tcBorders/>
            <w:vAlign w:val="center"/>
          </w:tcPr>
          <w:p>
            <w:pPr>
              <w:pStyle w:val="Normal"/>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Общие требования к выполнению работ</w:t>
            </w:r>
          </w:p>
        </w:tc>
        <w:tc>
          <w:tcPr>
            <w:tcW w:w="2693" w:type="dxa"/>
            <w:tcBorders/>
          </w:tcPr>
          <w:p>
            <w:pPr>
              <w:pStyle w:val="Normal"/>
              <w:widowControl w:val="false"/>
              <w:suppressAutoHyphens w:val="true"/>
              <w:spacing w:before="60" w:after="60"/>
              <w:jc w:val="left"/>
              <w:rPr>
                <w:b/>
                <w:sz w:val="24"/>
                <w:szCs w:val="24"/>
              </w:rPr>
            </w:pPr>
            <w:r>
              <w:rPr>
                <w:b/>
                <w:sz w:val="24"/>
                <w:szCs w:val="24"/>
              </w:rPr>
            </w:r>
          </w:p>
        </w:tc>
        <w:tc>
          <w:tcPr>
            <w:tcW w:w="2694" w:type="dxa"/>
            <w:tcBorders/>
          </w:tcPr>
          <w:p>
            <w:pPr>
              <w:pStyle w:val="Normal"/>
              <w:widowControl w:val="false"/>
              <w:suppressAutoHyphens w:val="true"/>
              <w:spacing w:before="60" w:after="60"/>
              <w:jc w:val="left"/>
              <w:rPr>
                <w:b/>
                <w:sz w:val="24"/>
                <w:szCs w:val="24"/>
              </w:rPr>
            </w:pPr>
            <w:r>
              <w:rPr>
                <w:b/>
                <w:sz w:val="24"/>
                <w:szCs w:val="24"/>
              </w:rPr>
            </w:r>
          </w:p>
        </w:tc>
        <w:tc>
          <w:tcPr>
            <w:tcW w:w="2551" w:type="dxa"/>
            <w:tcBorders/>
          </w:tcPr>
          <w:p>
            <w:pPr>
              <w:pStyle w:val="Normal"/>
              <w:widowControl w:val="false"/>
              <w:suppressAutoHyphens w:val="true"/>
              <w:spacing w:before="60" w:after="60"/>
              <w:jc w:val="left"/>
              <w:rPr>
                <w:b/>
                <w:sz w:val="24"/>
                <w:szCs w:val="24"/>
              </w:rPr>
            </w:pPr>
            <w:r>
              <w:rPr>
                <w:b/>
                <w:sz w:val="24"/>
                <w:szCs w:val="24"/>
              </w:rPr>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shd w:color="auto" w:fill="auto" w:val="clear"/>
          </w:tcPr>
          <w:p>
            <w:pPr>
              <w:pStyle w:val="Normal"/>
              <w:widowControl w:val="false"/>
              <w:suppressAutoHyphens w:val="true"/>
              <w:spacing w:before="0" w:after="0"/>
              <w:ind w:left="-34" w:hanging="0"/>
              <w:jc w:val="both"/>
              <w:rPr>
                <w:sz w:val="24"/>
                <w:szCs w:val="24"/>
                <w:lang w:eastAsia="en-US"/>
              </w:rPr>
            </w:pPr>
            <w:r>
              <w:rPr>
                <w:rFonts w:eastAsia="Times New Roman" w:cs="Times New Roman"/>
                <w:kern w:val="0"/>
                <w:sz w:val="24"/>
                <w:szCs w:val="24"/>
                <w:lang w:val="ru-RU" w:eastAsia="en-US" w:bidi="ar-SA"/>
              </w:rPr>
              <w:t>Соблюдение при выполнении работ норм и правил нормативно-технических документов</w:t>
            </w:r>
          </w:p>
          <w:p>
            <w:pPr>
              <w:pStyle w:val="Normal"/>
              <w:widowControl w:val="false"/>
              <w:suppressAutoHyphens w:val="true"/>
              <w:spacing w:before="0" w:after="0"/>
              <w:jc w:val="left"/>
              <w:rPr>
                <w:sz w:val="24"/>
                <w:szCs w:val="24"/>
              </w:rPr>
            </w:pPr>
            <w:r>
              <w:rPr>
                <w:sz w:val="24"/>
                <w:szCs w:val="24"/>
              </w:rPr>
            </w:r>
          </w:p>
        </w:tc>
        <w:tc>
          <w:tcPr>
            <w:tcW w:w="4225" w:type="dxa"/>
            <w:tcBorders/>
            <w:shd w:color="auto" w:fill="auto" w:val="clear"/>
          </w:tcPr>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Основные нормативно-технические документы (НТД) и заводские инструкции по эксплуатации оборудования, определяющие требования к выполняемым работам:</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Правила технической эксплуатации электрических станций и сетей Российской Федерации, утв. Приказом Минэнерго России от 04.10.2022 №1070;</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ГОСТ Р 72193-2025 «Гидростанции и гидроаккумулирующие электростанции. Гидротехнические сооружения и механическое оборудование»;</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СП 48.13330.2019. Свод правил. Организация строительства. СНиП 12-01-2004;</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СП 70.13330.2012. Свод правил. Несущие и ограждающие конструкции. Актуализированная редакция СНиП 3.03.01-87;</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Допуск к выполнению работ и организация работ с соблюдением нарядно – допускной системы осуществляется в соответствии с требованиями Регламента процесса «Допуск персонала подрядных организаций на объекты ПАО «РусГидро», утв. Приказом ПАО «РусГидро» от 28.04.2023 №300</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(Приложение №3 к настоящим техническим требованиям);</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Положение о пропускном и внутриобъектовом режимах филиала ПАО «РусГидро» - «Новосибирская ГЭС» утв.  приказом Филиала ПАО «РусГидро» - «Новосибирская ГЭС» № НГЭС93-18 от 19.03.2025 (Приложение № 4 к настоящим техническим требованиям);</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Правила по охране труда при погрузочно-разгрузочных работах и размещении грузов, утв. приказом Минтруда России от 28.10.2020 №753н;</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26.112020 №461;</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Правила по охране труда при работе с инструментом и приспособлениями, утв. приказом Минтруда России от 27.11.2020 №835н;</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Правила по охране труда при строительстве реконструкции и ремонте, утв. приказом Минтруда России от 11.12.2020 №883н;</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Правила организации технического обслуживания и ремонта объектов электроэнергетики, утв. приказом Минэнерго России от 25.10.2017 № 1013;</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Федеральный закон от 24.06.1998 №89-ФЗ «Об отходах производства и потребления»;</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Федеральный закон от 10.01.2002 №7-ФЗ «Об охране окружающей среды»;</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Федеральный закон от 22.07.2008 №123-ФЗ «Технический регламент о требованиях пожарной безопасности»;</w:t>
            </w:r>
          </w:p>
          <w:p>
            <w:pPr>
              <w:pStyle w:val="Normal"/>
              <w:widowControl w:val="false"/>
              <w:suppressAutoHyphens w:val="true"/>
              <w:spacing w:before="0" w:after="0"/>
              <w:jc w:val="left"/>
              <w:rPr>
                <w:rFonts w:ascii="Times New Roman" w:hAnsi="Times New Roman" w:eastAsia="Times New Roman" w:cs="Times New Roman"/>
                <w:kern w:val="0"/>
                <w:lang w:eastAsia="ru-RU" w:bidi="ar-SA"/>
              </w:rPr>
            </w:pPr>
            <w:r>
              <w:rPr>
                <w:rFonts w:eastAsia="Times New Roman" w:cs="Times New Roman"/>
                <w:kern w:val="0"/>
                <w:sz w:val="24"/>
                <w:szCs w:val="24"/>
                <w:lang w:val="ru-RU" w:eastAsia="ru-RU" w:bidi="ar-SA"/>
              </w:rPr>
              <w:t>- Правила противопожарного режима в Российской Федерации (утв. Постановлением Правительства РФ от 16</w:t>
            </w:r>
            <w:r>
              <w:rPr>
                <w:rFonts w:eastAsia="Times New Roman" w:cs="Times New Roman"/>
                <w:kern w:val="0"/>
                <w:sz w:val="24"/>
                <w:szCs w:val="24"/>
                <w:lang w:val="en-US" w:eastAsia="ru-RU" w:bidi="ar-SA"/>
              </w:rPr>
              <w:t>.09.</w:t>
            </w:r>
            <w:r>
              <w:rPr>
                <w:rFonts w:eastAsia="Times New Roman" w:cs="Times New Roman"/>
                <w:kern w:val="0"/>
                <w:sz w:val="24"/>
                <w:szCs w:val="24"/>
                <w:lang w:val="ru-RU" w:eastAsia="ru-RU" w:bidi="ar-SA"/>
              </w:rPr>
              <w:t xml:space="preserve">2020 </w:t>
            </w:r>
            <w:r>
              <w:rPr>
                <w:rFonts w:eastAsia="Times New Roman" w:cs="Times New Roman"/>
                <w:kern w:val="0"/>
                <w:sz w:val="24"/>
                <w:szCs w:val="24"/>
                <w:lang w:val="en-US" w:eastAsia="ru-RU" w:bidi="ar-SA"/>
              </w:rPr>
              <w:t>№</w:t>
            </w:r>
            <w:r>
              <w:rPr>
                <w:rFonts w:eastAsia="Times New Roman" w:cs="Times New Roman"/>
                <w:kern w:val="0"/>
                <w:sz w:val="24"/>
                <w:szCs w:val="24"/>
                <w:lang w:val="ru-RU" w:eastAsia="ru-RU" w:bidi="ar-SA"/>
              </w:rPr>
              <w:t>1479).</w:t>
            </w:r>
          </w:p>
        </w:tc>
        <w:tc>
          <w:tcPr>
            <w:tcW w:w="269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lang w:val="ru-RU" w:eastAsia="ru-RU"/>
              </w:rPr>
            </w:pPr>
            <w:bookmarkStart w:id="33" w:name="_Toc226049746"/>
            <w:r>
              <w:rPr>
                <w:rFonts w:eastAsia="Times New Roman" w:cs="Times New Roman"/>
                <w:kern w:val="0"/>
                <w:sz w:val="20"/>
                <w:szCs w:val="20"/>
                <w:lang w:val="ru-RU" w:eastAsia="ru-RU" w:bidi="ar-SA"/>
              </w:rPr>
              <w:t>-</w:t>
            </w:r>
            <w:bookmarkEnd w:id="33"/>
          </w:p>
        </w:tc>
        <w:tc>
          <w:tcPr>
            <w:tcW w:w="2551" w:type="dxa"/>
            <w:tcBorders/>
            <w:shd w:color="auto" w:fill="auto" w:val="clear"/>
          </w:tcPr>
          <w:p>
            <w:pPr>
              <w:pStyle w:val="Normal"/>
              <w:widowControl w:val="false"/>
              <w:suppressAutoHyphens w:val="true"/>
              <w:spacing w:before="0" w:after="0"/>
              <w:jc w:val="left"/>
              <w:rPr>
                <w:sz w:val="24"/>
                <w:szCs w:val="24"/>
              </w:rPr>
            </w:pPr>
            <w:r>
              <w:rPr>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lang w:val="en-US"/>
              </w:rPr>
            </w:pPr>
            <w:r>
              <w:rPr>
                <w:lang w:val="en-US"/>
              </w:rPr>
            </w:r>
          </w:p>
        </w:tc>
        <w:tc>
          <w:tcPr>
            <w:tcW w:w="623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организации работ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Организационно- технические мероприятия</w:t>
            </w:r>
          </w:p>
        </w:tc>
        <w:tc>
          <w:tcPr>
            <w:tcW w:w="4225"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w:t>
              <w:tab/>
              <w:t>Работы выполняются в соответствии с НТД, указанными в п. 1.1.1. таблицы №4 настоящих Технических требований (ТТ);</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2.</w:t>
              <w:tab/>
              <w:t>Перед началом производства работ по договору Подрядчик разрабатывает, согласовывает с Заказчиком и утверждает проект производства работ (ППР) и план производства работ на высоте (ППРв), включающий план мероприятий по эвакуации и спасению работников при возникновении аварийной ситуации и при проведении спасательных работ на высоте.</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3.</w:t>
              <w:tab/>
              <w:t>Работы выполняются в полном соответствии с утвержденными Подрядчиком ППР и ППРв.</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4.</w:t>
              <w:tab/>
              <w:t>Подрядчик не допускается в зону ремонтных работ без согласованных Заказчиком и утвержденных Подрядчиком ППР и ППРв;</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5.</w:t>
              <w:tab/>
              <w:t>Подрядчик для обеспечения безопасности работ, должен организовать:</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а) правильный выбор и использование средств защиты;</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б) соблюдение указаний маркировки средств защиты;</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в) обслуживание и периодические проверки средств защиты, указанных в эксплуатационной документации (инструкции) изготовителя;</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г) разработать единый перечень вредных и/или опасных производственных факторов, опасностей, с разработкой мероприятий по предотвращению случаев повреждения здоровья работников подрядной организации.</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6.</w:t>
              <w:tab/>
              <w:t>Обеспечение техники безопасности при проведении работ – 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7.</w:t>
              <w:tab/>
              <w:t>Допуск спецтехники Подрядчика для выполнения работ осуществляется в соответствии с Положением о порядке организации работ с использованием подъемных сооружений и другой специальной техники на территории Филиала ПАО «РусГидро»-«Новосибирская ГЭС» (утверждено приказом филиала ПАО «РусГидро»-«Новосибирская ГЭС» №НГЭС/93-0043 от 24.03.2017) (Приложение № 5 к настоящим ТТ);</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8.</w:t>
              <w:tab/>
              <w:t>Подготовку рабочих мест и допуск к выполнению работ выполняет персонал Заказчика;</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9.</w:t>
              <w:tab/>
              <w:t>Места подключения временных коммуникаций сообщаются после получения от Подрядчика официального запроса с указанием потребных ресурсов в количественных и качественных показателях;</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10.</w:t>
              <w:tab/>
              <w:t>Подрядчик должен подготовить оборудование рабочей площадки, монтаж ограждений, переходов, лестниц;</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11.</w:t>
              <w:tab/>
              <w:t>Подрядчик своевременно предупреждает Заказчика о необходимости выполнения дополнительных Работ.</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12.</w:t>
              <w:tab/>
              <w:t>Подрядчик представляет Заказчику по его запросу письменный отчет о ходе исполнения работ.</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13.</w:t>
              <w:tab/>
              <w:t>Персонал Подрядчика обеспечивает поддержание чистоты на рабочих местах, своевременную уборку ремонтной площадки, а также складируемых материалов на отм. 93,95 со стороны нижнего бьефа секции гидроагрегатного блока;</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14. Подрядчик     при     выполнении     работ обеспечивает соблюдение санитарных требований, требований   в   области   охраны   окружающей среды, мер по сохранению водных биологических ресурсов и среды их обитания.</w:t>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Слив технических жидкостей, сброс отходов в канализацию или на грунт, а также в водные объекты запрещается.</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t xml:space="preserve">15. </w:t>
            </w:r>
            <w:r>
              <w:rPr>
                <w:rFonts w:eastAsia="Times New Roman" w:cs="Times New Roman"/>
                <w:kern w:val="0"/>
                <w:sz w:val="24"/>
                <w:szCs w:val="24"/>
                <w:lang w:val="ru-RU" w:eastAsia="ru-RU" w:bidi="ar-SA"/>
              </w:rPr>
              <w:t>Организация   обращения   с отходами при производстве работ:</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15.1.   Отходы,   образующиеся   при проведении работ из материалов, не предоставленных   Заказчиком   (не давальческих),       являются собственностью и ответственностью Подрядчика.</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15.2. Подрядчик самостоятельно и за свой счет организует накопление, транспортирование,   утилизацию, обезвреживание, захоронение своих отходов,   ведение   учета   и предоставление   соответствующей отчетности,   внесение   платы   за</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негативное   воздействие   на окружающую среду.</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15.3. Отходы, образующиеся при проведении работ по демонтажу и разборке оборудования или сооружений Заказчика, являются   собственностью   и ответственностью Заказчика. Заказчик   делегирует   функции   по организации накопления, транспортировки, утилизации, обезвреживания, захоронения своих отходов Подрядчику.   Ведение учета, предоставление соответствующей     отчетности, внесение   платы   за   негативное воздействие на окружающую среду по данным отходам осуществляет Заказчик.</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15.4.   Подрядчик   осуществляет накопление   отходов   Заказчика   в соответствии   с   требованиями санитарного   и   экологического законодательства   РФ,   в   местах накопления указанных Заказчиком.</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15.5.   Подрядчик   обеспечивает отдельное   накопление   отходов Заказчика от собственных отходов.</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15.6. Подрядчик накапливает отходы Заказчика   в   собственной   таре, соответствующей     требованиям санитарного   и   экологического законодательства РФ.</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15.7. Подрядчик самостоятельно и за свой счет заключает договоры на сбор,       транспортирование, обработку,         утилизацию,</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обезвреживание,     размещение отходов     Заказчика,     с организациями,       имеющими лицензию       на       сбор, транспортирование,   обработку, утилизацию,     обезвреживание, размещение отходов I - IV классов опасности. Подрядчику необходимо предоставить   Заказчику   копии указанных     договоров     с приложением лицензий до начала производства работ.</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15.8. Подрядчик заключает договоры на размещение отходов только с организациями, осуществляющими эксплуатацию объектов размещения отходов,     включенных     в государственный   реестр   объектов размещения   отходов.   Подрядчик предоставляет   копию   указанного договора   Заказчику   до   начала производства работ.</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15.9. Подрядчик в течение 10 рабочих дней   после   передачи   отходов   на размещение,       утилизацию, обезвреживание     предоставляет подтверждающие     документы Заказчику.     Подтверждающими документами   понимаются   акты выполненных   работ,   талоны, справки   и   другие   документы   с отметкой         принимающей организации подтверждающей факт передачи отходов.</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15.10.     Ответственность     за надлежащее   состояние   мест накопления   отходов,   тары   для накопления, своевременный вывоз отходов несет Подрядчик.</w:t>
            </w:r>
          </w:p>
        </w:tc>
        <w:tc>
          <w:tcPr>
            <w:tcW w:w="2693" w:type="dxa"/>
            <w:tcBorders/>
            <w:shd w:color="auto" w:fill="auto" w:val="clear"/>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bookmarkStart w:id="34" w:name="_Toc226049747"/>
            <w:r>
              <w:rPr>
                <w:rFonts w:eastAsia="Times New Roman" w:cs="Times New Roman"/>
                <w:kern w:val="0"/>
                <w:sz w:val="20"/>
                <w:szCs w:val="20"/>
                <w:lang w:val="ru-RU" w:eastAsia="ru-RU" w:bidi="ar-SA"/>
              </w:rPr>
              <w:t>-</w:t>
            </w:r>
            <w:bookmarkEnd w:id="34"/>
          </w:p>
        </w:tc>
        <w:tc>
          <w:tcPr>
            <w:tcW w:w="2551"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применяемым при выполнении работ оборудованию, материалам, технологиям, программно-аппаратным средствам</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373" w:leader="none"/>
              </w:tabs>
              <w:suppressAutoHyphens w:val="true"/>
              <w:spacing w:before="0" w:after="0"/>
              <w:jc w:val="left"/>
              <w:rPr>
                <w:sz w:val="24"/>
                <w:szCs w:val="24"/>
                <w:lang w:eastAsia="en-US"/>
              </w:rPr>
            </w:pPr>
            <w:r>
              <w:rPr>
                <w:rFonts w:eastAsia="Times New Roman" w:cs="Times New Roman"/>
                <w:kern w:val="0"/>
                <w:sz w:val="24"/>
                <w:szCs w:val="24"/>
                <w:lang w:val="ru-RU" w:eastAsia="en-US" w:bidi="ar-SA"/>
              </w:rPr>
              <w:t>Требования к используемым материалам</w:t>
            </w:r>
          </w:p>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en-US" w:bidi="ar-SA"/>
              </w:rPr>
              <w:t xml:space="preserve">Строительные материалы и оборудование должны соответствовать требованиям, установленным в соответствии с </w:t>
            </w:r>
            <w:r>
              <w:fldChar w:fldCharType="begin"/>
            </w:r>
            <w:r>
              <w:rPr>
                <w:sz w:val="24"/>
                <w:kern w:val="0"/>
                <w:szCs w:val="24"/>
                <w:rFonts w:eastAsia="Times New Roman" w:cs="Times New Roman"/>
                <w:lang w:val="ru-RU" w:eastAsia="en-US" w:bidi="ar-SA"/>
              </w:rPr>
              <w:instrText xml:space="preserve"> HYPERLINK "https://www.consultant.ru/document/cons_doc_LAW_388109/cad7632d366e04ae9e9f7b2661d2a7ac2607847b/" \l "dst100056"</w:instrText>
            </w:r>
            <w:r>
              <w:rPr>
                <w:sz w:val="24"/>
                <w:kern w:val="0"/>
                <w:szCs w:val="24"/>
                <w:rFonts w:eastAsia="Times New Roman" w:cs="Times New Roman"/>
                <w:lang w:val="ru-RU" w:eastAsia="en-US" w:bidi="ar-SA"/>
              </w:rPr>
              <w:fldChar w:fldCharType="separate"/>
            </w:r>
            <w:r>
              <w:rPr>
                <w:rFonts w:eastAsia="Times New Roman" w:cs="Times New Roman"/>
                <w:kern w:val="0"/>
                <w:sz w:val="24"/>
                <w:szCs w:val="24"/>
                <w:lang w:val="ru-RU" w:eastAsia="en-US" w:bidi="ar-SA"/>
              </w:rPr>
              <w:t>законодательством</w:t>
            </w:r>
            <w:r>
              <w:rPr>
                <w:sz w:val="24"/>
                <w:kern w:val="0"/>
                <w:szCs w:val="24"/>
                <w:rFonts w:eastAsia="Times New Roman" w:cs="Times New Roman"/>
                <w:lang w:val="ru-RU" w:eastAsia="en-US" w:bidi="ar-SA"/>
              </w:rPr>
              <w:fldChar w:fldCharType="end"/>
            </w:r>
            <w:r>
              <w:rPr>
                <w:rFonts w:eastAsia="Times New Roman" w:cs="Times New Roman"/>
                <w:kern w:val="0"/>
                <w:sz w:val="24"/>
                <w:szCs w:val="24"/>
                <w:lang w:val="ru-RU" w:eastAsia="en-US" w:bidi="ar-SA"/>
              </w:rPr>
              <w:t xml:space="preserve"> Российской Федерации о техническом регулировании</w:t>
            </w:r>
          </w:p>
        </w:tc>
        <w:tc>
          <w:tcPr>
            <w:tcW w:w="2693" w:type="dxa"/>
            <w:tcBorders/>
            <w:shd w:color="auto" w:fill="auto" w:val="clear"/>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bookmarkStart w:id="35" w:name="_Toc226049748"/>
            <w:r>
              <w:rPr>
                <w:rFonts w:eastAsia="Times New Roman" w:cs="Times New Roman"/>
                <w:kern w:val="0"/>
                <w:sz w:val="20"/>
                <w:szCs w:val="20"/>
                <w:lang w:val="ru-RU" w:eastAsia="ru-RU" w:bidi="ar-SA"/>
              </w:rPr>
              <w:t>-</w:t>
            </w:r>
            <w:bookmarkEnd w:id="35"/>
          </w:p>
        </w:tc>
        <w:tc>
          <w:tcPr>
            <w:tcW w:w="2551"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tabs>
                <w:tab w:val="clear" w:pos="708"/>
                <w:tab w:val="left" w:pos="426" w:leader="none"/>
              </w:tabs>
              <w:suppressAutoHyphens w:val="true"/>
              <w:spacing w:before="60" w:after="0"/>
              <w:jc w:val="both"/>
              <w:rPr>
                <w:b/>
                <w:sz w:val="24"/>
                <w:szCs w:val="24"/>
              </w:rPr>
            </w:pPr>
            <w:r>
              <w:rPr>
                <w:rFonts w:eastAsia="Times New Roman" w:cs="Times New Roman"/>
                <w:b/>
                <w:kern w:val="0"/>
                <w:sz w:val="24"/>
                <w:szCs w:val="24"/>
                <w:lang w:val="ru-RU" w:eastAsia="ru-RU" w:bidi="ar-SA"/>
              </w:rPr>
              <w:t>Требования к контролю качества работ и материалов</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Контроль качества используемых запасных частей и материалов</w:t>
            </w:r>
          </w:p>
        </w:tc>
        <w:tc>
          <w:tcPr>
            <w:tcW w:w="4225" w:type="dxa"/>
            <w:tcBorders/>
          </w:tcPr>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При выполнении работ должны применяться материалы, имеющие параметры материалов, указанных в Приложении № 1 «Ведомости объемов работ» к настоящим ТТ.</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В случае замены применяемые при выполнении работ материалы должны быть согласованы с Заказчиком.</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Все применяемые при производстве работ материалы должны иметь все необходимые сопроводительные документы о качестве и соответствии установленным к ним нормам: сертификаты, паспорта качества, которые предоставляются Заказчику по первому требованию и по завершении работ в составе комплекта исполнительной документации;</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Применяемые, при выполнении работ технические средства, инструменты, приспособления и оборудование должны быть исправны, отвечать требованиям охраны труда, правилам пожарной и экологической безопасности;</w:t>
            </w:r>
          </w:p>
        </w:tc>
        <w:tc>
          <w:tcPr>
            <w:tcW w:w="2693" w:type="dxa"/>
            <w:tcBorders/>
            <w:shd w:color="auto" w:fill="auto" w:val="clear"/>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bCs/>
                <w:lang w:val="ru-RU" w:eastAsia="ru-RU"/>
              </w:rPr>
            </w:pPr>
            <w:bookmarkStart w:id="36" w:name="_Toc226049749"/>
            <w:r>
              <w:rPr>
                <w:rFonts w:eastAsia="Times New Roman" w:cs="Times New Roman"/>
                <w:kern w:val="0"/>
                <w:sz w:val="20"/>
                <w:szCs w:val="20"/>
                <w:lang w:val="ru-RU" w:eastAsia="ru-RU" w:bidi="ar-SA"/>
              </w:rPr>
              <w:t>-</w:t>
            </w:r>
            <w:bookmarkEnd w:id="36"/>
          </w:p>
        </w:tc>
        <w:tc>
          <w:tcPr>
            <w:tcW w:w="2551" w:type="dxa"/>
            <w:tcBorders/>
          </w:tcPr>
          <w:p>
            <w:pPr>
              <w:pStyle w:val="Normal"/>
              <w:widowControl w:val="false"/>
              <w:tabs>
                <w:tab w:val="clear" w:pos="708"/>
                <w:tab w:val="left" w:pos="426" w:leader="none"/>
              </w:tabs>
              <w:suppressAutoHyphens w:val="true"/>
              <w:spacing w:before="60" w:after="0"/>
              <w:jc w:val="left"/>
              <w:rPr>
                <w:b/>
                <w:bCs/>
                <w:sz w:val="24"/>
                <w:szCs w:val="24"/>
              </w:rPr>
            </w:pPr>
            <w:r>
              <w:rPr>
                <w:b/>
                <w:bCs/>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tcPr>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Требования к персоналу подрядчика</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Квалификация персонала подрядчика, привлекаемого к выполнению работ</w:t>
            </w:r>
          </w:p>
        </w:tc>
        <w:tc>
          <w:tcPr>
            <w:tcW w:w="4225" w:type="dxa"/>
            <w:tcBorders/>
          </w:tcPr>
          <w:p>
            <w:pPr>
              <w:pStyle w:val="Normal"/>
              <w:widowControl w:val="false"/>
              <w:tabs>
                <w:tab w:val="clear" w:pos="708"/>
                <w:tab w:val="left" w:pos="317" w:leader="none"/>
              </w:tabs>
              <w:suppressAutoHyphens w:val="true"/>
              <w:spacing w:before="0" w:after="0"/>
              <w:ind w:left="-57" w:hanging="0"/>
              <w:jc w:val="left"/>
              <w:rPr>
                <w:rFonts w:eastAsia="Calibri"/>
                <w:sz w:val="24"/>
                <w:szCs w:val="24"/>
              </w:rPr>
            </w:pPr>
            <w:r>
              <w:rPr>
                <w:rFonts w:eastAsia="Calibri" w:cs="Times New Roman"/>
                <w:kern w:val="0"/>
                <w:sz w:val="24"/>
                <w:szCs w:val="24"/>
                <w:lang w:val="ru-RU" w:eastAsia="ru-RU" w:bidi="ar-SA"/>
              </w:rPr>
              <w:t>Наличие собственного квалифицированного и аттестованного персонала необходимого для выполнения работ не менее 7 (cемь) человек.</w:t>
            </w:r>
          </w:p>
          <w:p>
            <w:pPr>
              <w:pStyle w:val="Normal"/>
              <w:widowControl w:val="false"/>
              <w:tabs>
                <w:tab w:val="clear" w:pos="708"/>
                <w:tab w:val="left" w:pos="317" w:leader="none"/>
              </w:tabs>
              <w:suppressAutoHyphens w:val="true"/>
              <w:spacing w:before="0" w:after="0"/>
              <w:ind w:left="-57" w:hanging="0"/>
              <w:jc w:val="left"/>
              <w:rPr>
                <w:rFonts w:eastAsia="Calibri"/>
                <w:sz w:val="24"/>
                <w:szCs w:val="24"/>
              </w:rPr>
            </w:pPr>
            <w:r>
              <w:rPr>
                <w:rFonts w:eastAsia="Calibri" w:cs="Times New Roman"/>
                <w:kern w:val="0"/>
                <w:sz w:val="24"/>
                <w:szCs w:val="24"/>
                <w:lang w:val="ru-RU" w:eastAsia="ru-RU" w:bidi="ar-SA"/>
              </w:rPr>
              <w:t>С учетом принятой технологии производства работ по ремонту бетонных конструктивных элементов, минимальная численность персонала, занятого на производстве составляет:</w:t>
            </w:r>
          </w:p>
          <w:p>
            <w:pPr>
              <w:pStyle w:val="Normal"/>
              <w:widowControl w:val="false"/>
              <w:tabs>
                <w:tab w:val="clear" w:pos="708"/>
                <w:tab w:val="left" w:pos="317" w:leader="none"/>
              </w:tabs>
              <w:suppressAutoHyphens w:val="true"/>
              <w:spacing w:before="0" w:after="0"/>
              <w:ind w:left="510" w:hanging="170"/>
              <w:jc w:val="left"/>
              <w:rPr>
                <w:rFonts w:eastAsia="Calibri"/>
                <w:sz w:val="24"/>
                <w:szCs w:val="24"/>
              </w:rPr>
            </w:pPr>
            <w:r>
              <w:rPr>
                <w:rFonts w:eastAsia="Calibri" w:cs="Times New Roman"/>
                <w:kern w:val="0"/>
                <w:sz w:val="24"/>
                <w:szCs w:val="24"/>
                <w:lang w:val="ru-RU" w:eastAsia="ru-RU" w:bidi="ar-SA"/>
              </w:rPr>
              <w:t>-слесарь строитель – 1 человек;</w:t>
            </w:r>
          </w:p>
          <w:p>
            <w:pPr>
              <w:pStyle w:val="Normal"/>
              <w:widowControl w:val="false"/>
              <w:tabs>
                <w:tab w:val="clear" w:pos="708"/>
                <w:tab w:val="left" w:pos="317" w:leader="none"/>
              </w:tabs>
              <w:suppressAutoHyphens w:val="true"/>
              <w:spacing w:before="0" w:after="0"/>
              <w:ind w:left="-57" w:firstLine="369"/>
              <w:jc w:val="left"/>
              <w:rPr>
                <w:rFonts w:eastAsia="Calibri"/>
                <w:sz w:val="24"/>
                <w:szCs w:val="24"/>
              </w:rPr>
            </w:pPr>
            <w:r>
              <w:rPr>
                <w:rFonts w:eastAsia="Calibri" w:cs="Times New Roman"/>
                <w:kern w:val="0"/>
                <w:sz w:val="24"/>
                <w:szCs w:val="24"/>
                <w:lang w:val="ru-RU" w:eastAsia="ru-RU" w:bidi="ar-SA"/>
              </w:rPr>
              <w:softHyphen/>
              <w:tab/>
              <w:t>бетонщик – 5 человек;</w:t>
            </w:r>
          </w:p>
          <w:p>
            <w:pPr>
              <w:pStyle w:val="Normal"/>
              <w:widowControl w:val="false"/>
              <w:tabs>
                <w:tab w:val="clear" w:pos="708"/>
                <w:tab w:val="left" w:pos="317" w:leader="none"/>
              </w:tabs>
              <w:suppressAutoHyphens w:val="true"/>
              <w:spacing w:before="0" w:after="0"/>
              <w:ind w:left="-57" w:firstLine="369"/>
              <w:jc w:val="left"/>
              <w:rPr>
                <w:rFonts w:eastAsia="Calibri"/>
                <w:sz w:val="24"/>
                <w:szCs w:val="24"/>
              </w:rPr>
            </w:pPr>
            <w:r>
              <w:rPr>
                <w:rFonts w:eastAsia="Calibri" w:cs="Times New Roman"/>
                <w:kern w:val="0"/>
                <w:sz w:val="24"/>
                <w:szCs w:val="24"/>
                <w:lang w:val="ru-RU" w:eastAsia="ru-RU" w:bidi="ar-SA"/>
              </w:rPr>
              <w:softHyphen/>
              <w:tab/>
              <w:t>инженерно-технический работник – 1 человек.</w:t>
            </w:r>
          </w:p>
        </w:tc>
        <w:tc>
          <w:tcPr>
            <w:tcW w:w="2693" w:type="dxa"/>
            <w:tcBorders/>
            <w:shd w:color="auto" w:fill="auto" w:val="clear"/>
          </w:tcPr>
          <w:p>
            <w:pPr>
              <w:pStyle w:val="Normal"/>
              <w:widowControl w:val="false"/>
              <w:suppressAutoHyphens w:val="true"/>
              <w:spacing w:before="0" w:after="0"/>
              <w:jc w:val="left"/>
              <w:rPr>
                <w:b/>
                <w:sz w:val="24"/>
                <w:szCs w:val="24"/>
              </w:rPr>
            </w:pPr>
            <w:r>
              <w:rPr>
                <w:b/>
                <w:sz w:val="24"/>
                <w:szCs w:val="24"/>
              </w:rPr>
            </w:r>
          </w:p>
        </w:tc>
        <w:tc>
          <w:tcPr>
            <w:tcW w:w="2694" w:type="dxa"/>
            <w:tcBorders/>
            <w:shd w:color="auto" w:fill="auto" w:val="clear"/>
          </w:tcPr>
          <w:p>
            <w:pPr>
              <w:pStyle w:val="Normal"/>
              <w:widowControl w:val="false"/>
              <w:tabs>
                <w:tab w:val="clear" w:pos="708"/>
                <w:tab w:val="left" w:pos="317" w:leader="none"/>
              </w:tabs>
              <w:suppressAutoHyphens w:val="true"/>
              <w:spacing w:before="0" w:after="0"/>
              <w:ind w:left="-57" w:hanging="0"/>
              <w:jc w:val="left"/>
              <w:rPr>
                <w:rFonts w:eastAsia="Calibri"/>
                <w:sz w:val="24"/>
                <w:szCs w:val="24"/>
              </w:rPr>
            </w:pPr>
            <w:r>
              <w:rPr>
                <w:rFonts w:eastAsia="Calibri" w:cs="Times New Roman"/>
                <w:kern w:val="0"/>
                <w:sz w:val="24"/>
                <w:szCs w:val="24"/>
                <w:lang w:val="ru-RU" w:eastAsia="ru-RU" w:bidi="ar-SA"/>
              </w:rPr>
              <w:t xml:space="preserve">Подрядчик перед началом выполнения работ должен представить копии удостоверений всех работников, которые будут задействованы в ремонтных работах, о проверке знаний норм по следующим правилам: - Правила по охране труда при работе на высоте (утверждены приказом Минтруда России от </w:t>
            </w:r>
            <w:r>
              <w:rPr>
                <w:rFonts w:eastAsia="Times New Roman" w:cs="Times New Roman"/>
                <w:bCs/>
                <w:color w:val="000000"/>
                <w:kern w:val="0"/>
                <w:sz w:val="24"/>
                <w:szCs w:val="24"/>
                <w:lang w:val="ru-RU" w:eastAsia="ru-RU" w:bidi="ar-SA"/>
              </w:rPr>
              <w:t>16.11.2020 №782н</w:t>
            </w:r>
            <w:r>
              <w:rPr>
                <w:rFonts w:eastAsia="Calibri" w:cs="Times New Roman"/>
                <w:kern w:val="0"/>
                <w:sz w:val="24"/>
                <w:szCs w:val="24"/>
                <w:lang w:val="ru-RU" w:eastAsia="ru-RU" w:bidi="ar-SA"/>
              </w:rPr>
              <w:t xml:space="preserve">); Правила по охране труда при эксплуатации электроустановок (утверждены приказом Минтруда России от </w:t>
            </w:r>
            <w:r>
              <w:rPr>
                <w:rFonts w:eastAsia="Times New Roman" w:cs="Times New Roman"/>
                <w:bCs/>
                <w:color w:val="000000"/>
                <w:kern w:val="0"/>
                <w:sz w:val="24"/>
                <w:szCs w:val="24"/>
                <w:lang w:val="ru-RU" w:eastAsia="ru-RU" w:bidi="ar-SA"/>
              </w:rPr>
              <w:t>15.12.2020                            №903н</w:t>
            </w:r>
            <w:r>
              <w:rPr>
                <w:rFonts w:eastAsia="Calibri" w:cs="Times New Roman"/>
                <w:kern w:val="0"/>
                <w:sz w:val="24"/>
                <w:szCs w:val="24"/>
                <w:lang w:val="ru-RU" w:eastAsia="ru-RU" w:bidi="ar-SA"/>
              </w:rPr>
              <w:t>). В удостоверениях должна быть сделана отметка о группе по электробезопасности, присвоенная специалисту комиссией предприятия, а также отметка о допуске к специальным видам работ. Работники должны иметь группу по электробезопасности не ниже II.  В случае ротации работников Подрядчика при производстве работ, предоставляет копии указанных документов на сменных работников</w:t>
            </w:r>
          </w:p>
          <w:p>
            <w:pPr>
              <w:pStyle w:val="Normal"/>
              <w:widowControl w:val="false"/>
              <w:tabs>
                <w:tab w:val="clear" w:pos="708"/>
                <w:tab w:val="left" w:pos="317" w:leader="none"/>
              </w:tabs>
              <w:suppressAutoHyphens w:val="true"/>
              <w:spacing w:before="0" w:after="0"/>
              <w:ind w:left="-57" w:hanging="0"/>
              <w:jc w:val="left"/>
              <w:rPr>
                <w:b/>
                <w:sz w:val="24"/>
                <w:szCs w:val="24"/>
              </w:rPr>
            </w:pPr>
            <w:r>
              <w:rPr>
                <w:rFonts w:eastAsia="Calibri" w:cs="Times New Roman"/>
                <w:kern w:val="0"/>
                <w:sz w:val="24"/>
                <w:szCs w:val="24"/>
                <w:lang w:val="ru-RU" w:eastAsia="ru-RU" w:bidi="ar-SA"/>
              </w:rPr>
              <w:t>При работах на высоте: ответственный исполнитель (производитель работ) должен иметь группу не ниже II группы по безопасности работ на высоте, член бригады не ниже I, лицо, ответственное за безопасную организацию и проведение работ на высоте - группу III. по безопасности работ на высоте (п.11 Правил по охране труда при работе на высоте).</w:t>
            </w:r>
          </w:p>
        </w:tc>
        <w:tc>
          <w:tcPr>
            <w:tcW w:w="2551"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безопасности работ и охране труда</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безопасности выполняемых работ</w:t>
            </w:r>
          </w:p>
        </w:tc>
        <w:tc>
          <w:tcPr>
            <w:tcW w:w="4225" w:type="dxa"/>
            <w:tcBorders/>
          </w:tcPr>
          <w:p>
            <w:pPr>
              <w:pStyle w:val="ListParagraph"/>
              <w:widowControl w:val="false"/>
              <w:suppressAutoHyphens w:val="true"/>
              <w:spacing w:before="0" w:after="0"/>
              <w:ind w:left="13" w:hanging="0"/>
              <w:contextualSpacing/>
              <w:jc w:val="left"/>
              <w:rPr>
                <w:rFonts w:ascii="Times New Roman" w:hAnsi="Times New Roman" w:cs="Times New Roman"/>
                <w:kern w:val="0"/>
                <w:lang w:val="ru-RU" w:eastAsia="ru-RU" w:bidi="ar-SA"/>
              </w:rPr>
            </w:pPr>
            <w:r>
              <w:rPr>
                <w:rFonts w:cs="Times New Roman"/>
                <w:kern w:val="0"/>
                <w:lang w:val="ru-RU" w:eastAsia="ru-RU" w:bidi="ar-SA"/>
              </w:rPr>
              <w:t>Подрядчик обеспечивает наличие и применение на рабочем месте средств индивидуальной защиты, коллективной защиты, средств спасения и эвакуации необходимых для выполнения работ на высоте, первичных средств пожаротушения при работе с искрообразующим инструментом (огневые работы) в соответствии с данными техническими требованиями.</w:t>
            </w:r>
          </w:p>
          <w:p>
            <w:pPr>
              <w:pStyle w:val="ListParagraph"/>
              <w:widowControl w:val="false"/>
              <w:suppressAutoHyphens w:val="true"/>
              <w:spacing w:before="0" w:after="0"/>
              <w:ind w:left="13" w:hanging="0"/>
              <w:contextualSpacing/>
              <w:jc w:val="left"/>
              <w:rPr>
                <w:rFonts w:ascii="Times New Roman" w:hAnsi="Times New Roman" w:cs="Times New Roman"/>
                <w:kern w:val="0"/>
                <w:lang w:val="ru-RU" w:eastAsia="ru-RU" w:bidi="ar-SA"/>
              </w:rPr>
            </w:pPr>
            <w:r>
              <w:rPr>
                <w:rFonts w:cs="Times New Roman"/>
                <w:kern w:val="0"/>
                <w:lang w:val="ru-RU" w:eastAsia="ru-RU" w:bidi="ar-SA"/>
              </w:rPr>
              <w:t>Так же Подрядчик обеспечивает наличие на рабочем месте средств спасения и эвакуации для выполнения работ на высоте.</w:t>
            </w:r>
          </w:p>
          <w:p>
            <w:pPr>
              <w:pStyle w:val="ListParagraph"/>
              <w:widowControl w:val="false"/>
              <w:suppressAutoHyphens w:val="true"/>
              <w:spacing w:before="0" w:after="0"/>
              <w:ind w:left="13" w:hanging="0"/>
              <w:contextualSpacing/>
              <w:jc w:val="left"/>
              <w:rPr>
                <w:rFonts w:ascii="Times New Roman" w:hAnsi="Times New Roman" w:cs="Times New Roman"/>
                <w:kern w:val="0"/>
                <w:lang w:val="ru-RU" w:bidi="ar-SA"/>
              </w:rPr>
            </w:pPr>
            <w:r>
              <w:rPr>
                <w:rFonts w:cs="Times New Roman"/>
                <w:kern w:val="0"/>
                <w:lang w:val="ru-RU" w:eastAsia="x-none" w:bidi="ar-SA"/>
              </w:rPr>
              <w:t xml:space="preserve"> </w:t>
            </w:r>
            <w:r>
              <w:rPr>
                <w:rFonts w:cs="Times New Roman"/>
                <w:kern w:val="0"/>
                <w:lang w:val="ru-RU" w:eastAsia="x-none" w:bidi="ar-SA"/>
              </w:rPr>
              <w:t>не ниже КМ2;</w:t>
            </w:r>
          </w:p>
          <w:p>
            <w:pPr>
              <w:pStyle w:val="ListParagraph"/>
              <w:widowControl w:val="false"/>
              <w:suppressAutoHyphens w:val="true"/>
              <w:spacing w:before="0" w:after="0"/>
              <w:ind w:left="13" w:hanging="0"/>
              <w:contextualSpacing/>
              <w:jc w:val="left"/>
              <w:rPr>
                <w:rFonts w:ascii="Times New Roman" w:hAnsi="Times New Roman" w:cs="Times New Roman"/>
                <w:kern w:val="0"/>
                <w:lang w:val="ru-RU" w:bidi="ar-SA"/>
              </w:rPr>
            </w:pPr>
            <w:r>
              <w:rPr>
                <w:rFonts w:cs="Times New Roman"/>
                <w:kern w:val="0"/>
                <w:lang w:val="ru-RU" w:eastAsia="x-none" w:bidi="ar-SA"/>
              </w:rPr>
              <w:t xml:space="preserve">Размещение мобильного инвентарного временного здания для пребывания персонала (вагон-бытовки) допускается в соответствии с Порядком размещения мобильных инвентарных временных зданий  (вагонов-бытовок) для пребывания персонала в филиале ПАО </w:t>
            </w:r>
            <w:r>
              <w:rPr>
                <w:rFonts w:eastAsia="Times New Roman" w:cs="Times New Roman"/>
                <w:kern w:val="0"/>
                <w:lang w:val="ru-RU" w:eastAsia="ru-RU" w:bidi="ar-SA"/>
              </w:rPr>
              <w:t>«РусГидро»-«Новосибирская ГЭС», утвержденного приказом №НГЭС/93-360 от 28.08.2025г.-Приложение №10 к настоящим ТТ.</w:t>
            </w:r>
          </w:p>
        </w:tc>
        <w:tc>
          <w:tcPr>
            <w:tcW w:w="2693" w:type="dxa"/>
            <w:tcBorders/>
            <w:shd w:color="auto" w:fill="auto" w:val="clear"/>
          </w:tcPr>
          <w:p>
            <w:pPr>
              <w:pStyle w:val="Normal"/>
              <w:widowControl w:val="false"/>
              <w:suppressAutoHyphens w:val="true"/>
              <w:spacing w:before="0" w:after="0"/>
              <w:jc w:val="left"/>
              <w:rPr>
                <w:b/>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Normal"/>
              <w:widowControl w:val="false"/>
              <w:tabs>
                <w:tab w:val="clear" w:pos="708"/>
                <w:tab w:val="left" w:pos="426" w:leader="none"/>
              </w:tabs>
              <w:suppressAutoHyphens w:val="true"/>
              <w:spacing w:before="60" w:after="0"/>
              <w:jc w:val="center"/>
              <w:rPr>
                <w:b/>
              </w:rPr>
            </w:pPr>
            <w:r>
              <w:rPr>
                <w:rFonts w:eastAsia="Times New Roman" w:cs="Times New Roman"/>
                <w:kern w:val="0"/>
                <w:lang w:val="ru-RU" w:eastAsia="ru-RU" w:bidi="ar-SA"/>
              </w:rPr>
              <w:t>-</w:t>
            </w:r>
          </w:p>
        </w:tc>
        <w:tc>
          <w:tcPr>
            <w:tcW w:w="2551" w:type="dxa"/>
            <w:tcBorders/>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6"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результатам работ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Общие требования к результатам работ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результатам работ</w:t>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Результаты освидетельствования проведенных работ должны соответствовать нормативным требованиям установленных для осуществления строительного контроля на объектах капитального строительства филиала ПАО «РусГидро»-«Новосибирская ГЭС» (Положение о системе строительного контроля при осуществлении строительства, реконструкции и капитального ремонта объектов капитального строительства</w:t>
            </w:r>
            <w:r>
              <w:rPr>
                <w:rFonts w:eastAsia="Times New Roman" w:cs="Times New Roman"/>
                <w:kern w:val="0"/>
                <w:lang w:val="ru-RU" w:eastAsia="ru-RU" w:bidi="ar-SA"/>
              </w:rPr>
              <w:t xml:space="preserve"> </w:t>
            </w:r>
            <w:r>
              <w:rPr>
                <w:rFonts w:eastAsia="Times New Roman" w:cs="Times New Roman"/>
                <w:kern w:val="0"/>
                <w:sz w:val="24"/>
                <w:szCs w:val="24"/>
                <w:lang w:val="ru-RU" w:eastAsia="ru-RU" w:bidi="ar-SA"/>
              </w:rPr>
              <w:t>филиала ПАО «РусГидро»-«Новосибирская ГЭС» - Приложение №6 к настоящим ТТ)</w:t>
            </w:r>
          </w:p>
        </w:tc>
        <w:tc>
          <w:tcPr>
            <w:tcW w:w="2693" w:type="dxa"/>
            <w:tcBorders/>
            <w:shd w:color="auto" w:fill="auto" w:val="clear"/>
          </w:tcPr>
          <w:p>
            <w:pPr>
              <w:pStyle w:val="Normal"/>
              <w:widowControl w:val="false"/>
              <w:suppressAutoHyphens w:val="true"/>
              <w:spacing w:before="0" w:after="0"/>
              <w:jc w:val="left"/>
              <w:rPr>
                <w:b/>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bookmarkStart w:id="37" w:name="_Toc226049750"/>
            <w:r>
              <w:rPr>
                <w:rFonts w:eastAsia="Times New Roman" w:cs="Times New Roman"/>
                <w:kern w:val="0"/>
                <w:sz w:val="20"/>
                <w:szCs w:val="20"/>
                <w:lang w:val="ru-RU" w:eastAsia="ru-RU" w:bidi="ar-SA"/>
              </w:rPr>
              <w:t>-</w:t>
            </w:r>
            <w:bookmarkEnd w:id="37"/>
          </w:p>
        </w:tc>
        <w:tc>
          <w:tcPr>
            <w:tcW w:w="2551" w:type="dxa"/>
            <w:tcBorders/>
          </w:tcPr>
          <w:p>
            <w:pPr>
              <w:pStyle w:val="Normal"/>
              <w:widowControl w:val="false"/>
              <w:tabs>
                <w:tab w:val="clear" w:pos="708"/>
                <w:tab w:val="left" w:pos="426" w:leader="none"/>
              </w:tabs>
              <w:suppressAutoHyphens w:val="true"/>
              <w:spacing w:before="60" w:after="0"/>
              <w:jc w:val="left"/>
              <w:rPr>
                <w:b/>
              </w:rPr>
            </w:pPr>
            <w:r>
              <w:rPr>
                <w:b/>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60" w:after="0"/>
              <w:jc w:val="left"/>
              <w:rPr>
                <w:rStyle w:val="Style8"/>
                <w:i w:val="false"/>
                <w:i w:val="false"/>
                <w:sz w:val="24"/>
                <w:szCs w:val="24"/>
                <w:shd w:fill="auto" w:val="clear"/>
              </w:rPr>
            </w:pPr>
            <w:r>
              <w:rPr>
                <w:rFonts w:eastAsia="Times New Roman" w:cs="Times New Roman"/>
                <w:b/>
                <w:kern w:val="0"/>
                <w:sz w:val="24"/>
                <w:szCs w:val="24"/>
                <w:lang w:val="ru-RU" w:eastAsia="ru-RU" w:bidi="ar-SA"/>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bCs/>
                <w:kern w:val="0"/>
                <w:sz w:val="24"/>
                <w:szCs w:val="24"/>
                <w:lang w:val="ru-RU" w:eastAsia="ru-RU" w:bidi="ar-SA"/>
              </w:rPr>
              <w:t>Результат выполнения работ</w:t>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Обеспечение водонепроницаемости бетонной кладки блока ГА-1</w:t>
            </w:r>
          </w:p>
        </w:tc>
        <w:tc>
          <w:tcPr>
            <w:tcW w:w="2693" w:type="dxa"/>
            <w:tcBorders/>
            <w:shd w:color="auto" w:fill="auto" w:val="clear"/>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bCs/>
                <w:lang w:val="ru-RU" w:eastAsia="ru-RU"/>
              </w:rPr>
            </w:pPr>
            <w:bookmarkStart w:id="38" w:name="_Toc226049751"/>
            <w:r>
              <w:rPr>
                <w:rFonts w:eastAsia="Times New Roman" w:cs="Times New Roman"/>
                <w:kern w:val="0"/>
                <w:sz w:val="20"/>
                <w:szCs w:val="20"/>
                <w:lang w:val="ru-RU" w:eastAsia="ru-RU" w:bidi="ar-SA"/>
              </w:rPr>
              <w:t>-</w:t>
            </w:r>
            <w:bookmarkEnd w:id="38"/>
          </w:p>
        </w:tc>
        <w:tc>
          <w:tcPr>
            <w:tcW w:w="2551" w:type="dxa"/>
            <w:tcBorders/>
          </w:tcPr>
          <w:p>
            <w:pPr>
              <w:pStyle w:val="Normal"/>
              <w:widowControl w:val="false"/>
              <w:tabs>
                <w:tab w:val="clear" w:pos="708"/>
                <w:tab w:val="left" w:pos="426" w:leader="none"/>
              </w:tabs>
              <w:suppressAutoHyphens w:val="true"/>
              <w:spacing w:before="60" w:after="0"/>
              <w:jc w:val="left"/>
              <w:rPr>
                <w:b/>
                <w:bCs/>
                <w:sz w:val="24"/>
                <w:szCs w:val="24"/>
              </w:rPr>
            </w:pPr>
            <w:r>
              <w:rPr>
                <w:b/>
                <w:bCs/>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0" w:after="0"/>
              <w:jc w:val="left"/>
              <w:rPr>
                <w:bCs/>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Порядок приемки результатов работ</w:t>
            </w:r>
          </w:p>
        </w:tc>
        <w:tc>
          <w:tcPr>
            <w:tcW w:w="4225"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Приемка результатов работ осуществляется в соответствии с требованиями, указанными в разделе IV Положения о системе строительного контроля при осуществлении строительства, реконструкции и капитального ремонта объектов капитального строительства филиала ПАО «РусГидро»-«Новосибирская ГЭС» - Приложение №6 к настоящим ТТ</w:t>
            </w:r>
          </w:p>
        </w:tc>
        <w:tc>
          <w:tcPr>
            <w:tcW w:w="269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Normal"/>
              <w:widowControl w:val="false"/>
              <w:tabs>
                <w:tab w:val="clear" w:pos="708"/>
                <w:tab w:val="left" w:pos="426" w:leader="none"/>
              </w:tabs>
              <w:suppressAutoHyphens w:val="true"/>
              <w:spacing w:before="60" w:after="0"/>
              <w:jc w:val="center"/>
              <w:rPr>
                <w:b/>
                <w:sz w:val="24"/>
                <w:szCs w:val="24"/>
              </w:rPr>
            </w:pPr>
            <w:r>
              <w:rPr>
                <w:rFonts w:eastAsia="Times New Roman" w:cs="Times New Roman"/>
                <w:kern w:val="0"/>
                <w:lang w:val="ru-RU" w:eastAsia="ru-RU" w:bidi="ar-SA"/>
              </w:rPr>
              <w:t>-</w:t>
            </w:r>
          </w:p>
        </w:tc>
        <w:tc>
          <w:tcPr>
            <w:tcW w:w="2551"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56"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оформлению документации</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en-US" w:bidi="ar-SA"/>
              </w:rPr>
              <w:t>Документы, передаваемые заказчику по результатам выполненных работ</w:t>
            </w:r>
          </w:p>
        </w:tc>
        <w:tc>
          <w:tcPr>
            <w:tcW w:w="4225" w:type="dxa"/>
            <w:tcBorders/>
          </w:tcPr>
          <w:p>
            <w:pPr>
              <w:pStyle w:val="Normal"/>
              <w:widowControl w:val="false"/>
              <w:suppressAutoHyphens w:val="true"/>
              <w:spacing w:before="0" w:after="0"/>
              <w:ind w:firstLine="13"/>
              <w:jc w:val="left"/>
              <w:rPr>
                <w:sz w:val="24"/>
                <w:szCs w:val="24"/>
                <w:lang w:eastAsia="en-US"/>
              </w:rPr>
            </w:pPr>
            <w:r>
              <w:rPr>
                <w:rFonts w:eastAsia="Times New Roman" w:cs="Times New Roman"/>
                <w:kern w:val="0"/>
                <w:sz w:val="24"/>
                <w:szCs w:val="24"/>
                <w:lang w:val="ru-RU" w:eastAsia="ru-RU" w:bidi="ar-SA"/>
              </w:rPr>
              <w:t xml:space="preserve">Оформить и предоставить Заказчику Акт о приемке выполненных работ КС-2, Справку </w:t>
            </w:r>
            <w:r>
              <w:rPr>
                <w:rFonts w:eastAsia="Times New Roman" w:cs="Times New Roman"/>
                <w:kern w:val="0"/>
                <w:sz w:val="24"/>
                <w:szCs w:val="24"/>
                <w:lang w:val="ru-RU" w:eastAsia="en-US" w:bidi="ar-SA"/>
              </w:rPr>
              <w:t>о стоимости выполненных работ и затрат</w:t>
            </w:r>
            <w:r>
              <w:rPr>
                <w:rFonts w:eastAsia="Times New Roman" w:cs="Times New Roman"/>
                <w:kern w:val="0"/>
                <w:sz w:val="24"/>
                <w:szCs w:val="24"/>
                <w:lang w:val="ru-RU" w:eastAsia="ru-RU" w:bidi="ar-SA"/>
              </w:rPr>
              <w:t xml:space="preserve"> КС-3 </w:t>
            </w:r>
            <w:r>
              <w:rPr>
                <w:rFonts w:eastAsia="Times New Roman" w:cs="Times New Roman"/>
                <w:bCs/>
                <w:kern w:val="0"/>
                <w:sz w:val="24"/>
                <w:szCs w:val="24"/>
                <w:lang w:val="ru-RU" w:eastAsia="ru-RU" w:bidi="ar-SA"/>
              </w:rPr>
              <w:t>н</w:t>
            </w:r>
            <w:r>
              <w:rPr>
                <w:rFonts w:eastAsia="Times New Roman" w:cs="Times New Roman"/>
                <w:kern w:val="0"/>
                <w:sz w:val="24"/>
                <w:szCs w:val="24"/>
                <w:lang w:val="ru-RU" w:eastAsia="ru-RU" w:bidi="ar-SA"/>
              </w:rPr>
              <w:t xml:space="preserve">а весь объем выполненных работ по Объекту </w:t>
            </w:r>
            <w:r>
              <w:rPr>
                <w:rFonts w:eastAsia="Times New Roman" w:cs="Times New Roman"/>
                <w:bCs/>
                <w:kern w:val="0"/>
                <w:sz w:val="24"/>
                <w:szCs w:val="24"/>
                <w:lang w:val="ru-RU" w:eastAsia="ru-RU" w:bidi="ar-SA"/>
              </w:rPr>
              <w:t xml:space="preserve">с приложением Приемо-сдаточной и Исполнительной документации (в т.ч. ведомость выполненных работ, </w:t>
            </w:r>
            <w:r>
              <w:rPr>
                <w:rFonts w:eastAsia="Times New Roman" w:cs="Times New Roman"/>
                <w:kern w:val="0"/>
                <w:sz w:val="24"/>
                <w:szCs w:val="24"/>
                <w:lang w:val="ru-RU" w:eastAsia="en-US" w:bidi="ar-SA"/>
              </w:rPr>
              <w:t>акты на скрытые работы, исполнительные чертежи, сертификаты качества и паспорта на примененные материалы, сведения об осуществлении входного контроля качества поставляемых материалов.</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en-US" w:bidi="ar-SA"/>
              </w:rPr>
              <w:t>Оригиналы исполнительных документов по проведенному ремонту передать Заказчику по описи или перечню, на бумажном носителе в 1 экземпляре, на электронном носителе в виде скан копии оригиналов 1 экземпляре в формате *.pdf и в формате разработки (*.dwg, *.vsd, *.dос, *.хls. или аналоги).</w:t>
            </w:r>
          </w:p>
        </w:tc>
        <w:tc>
          <w:tcPr>
            <w:tcW w:w="2693" w:type="dxa"/>
            <w:tcBorders/>
            <w:shd w:color="auto" w:fill="auto" w:val="clear"/>
          </w:tcPr>
          <w:p>
            <w:pPr>
              <w:pStyle w:val="Normal"/>
              <w:widowControl w:val="false"/>
              <w:suppressAutoHyphens w:val="true"/>
              <w:spacing w:before="0" w:after="0"/>
              <w:jc w:val="left"/>
              <w:rPr>
                <w:b/>
                <w:bCs/>
              </w:rPr>
            </w:pPr>
            <w:r>
              <w:rPr>
                <w:rFonts w:eastAsia="Times New Roman" w:cs="Times New Roman"/>
                <w:kern w:val="0"/>
                <w:sz w:val="24"/>
                <w:szCs w:val="24"/>
                <w:lang w:val="ru-RU" w:eastAsia="ru-RU" w:bidi="ar-SA"/>
              </w:rPr>
              <w:t>Согласие с требованием</w:t>
            </w:r>
          </w:p>
        </w:tc>
        <w:tc>
          <w:tcPr>
            <w:tcW w:w="2694" w:type="dxa"/>
            <w:tcBorders/>
            <w:shd w:color="auto" w:fill="auto" w:val="clear"/>
          </w:tcPr>
          <w:p>
            <w:pPr>
              <w:pStyle w:val="Style27"/>
              <w:keepNext w:val="false"/>
              <w:widowControl w:val="false"/>
              <w:numPr>
                <w:ilvl w:val="0"/>
                <w:numId w:val="0"/>
              </w:numPr>
              <w:suppressAutoHyphens w:val="true"/>
              <w:spacing w:before="0" w:after="60"/>
              <w:ind w:left="0" w:hanging="0"/>
              <w:jc w:val="left"/>
              <w:outlineLvl w:val="2"/>
              <w:rPr>
                <w:lang w:val="ru-RU"/>
              </w:rPr>
            </w:pPr>
            <w:bookmarkStart w:id="39" w:name="_Toc226049752"/>
            <w:r>
              <w:rPr>
                <w:rFonts w:eastAsia="Times New Roman" w:cs="Times New Roman"/>
                <w:kern w:val="0"/>
                <w:sz w:val="20"/>
                <w:szCs w:val="20"/>
                <w:lang w:val="ru-RU" w:eastAsia="ru-RU" w:bidi="ar-SA"/>
              </w:rPr>
              <w:t>-</w:t>
            </w:r>
            <w:bookmarkEnd w:id="39"/>
          </w:p>
        </w:tc>
        <w:tc>
          <w:tcPr>
            <w:tcW w:w="2551" w:type="dxa"/>
            <w:tcBorders/>
          </w:tcPr>
          <w:p>
            <w:pPr>
              <w:pStyle w:val="Style27"/>
              <w:keepNext w:val="false"/>
              <w:widowControl w:val="false"/>
              <w:numPr>
                <w:ilvl w:val="0"/>
                <w:numId w:val="0"/>
              </w:numPr>
              <w:suppressAutoHyphens w:val="true"/>
              <w:spacing w:before="0" w:after="60"/>
              <w:ind w:left="0" w:hanging="0"/>
              <w:jc w:val="left"/>
              <w:outlineLvl w:val="2"/>
              <w:rPr>
                <w:rFonts w:eastAsia="Times New Roman"/>
                <w:sz w:val="20"/>
                <w:szCs w:val="20"/>
                <w:lang w:val="ru-RU" w:eastAsia="ru-RU"/>
              </w:rPr>
            </w:pPr>
            <w:r>
              <w:rPr>
                <w:rFonts w:eastAsia="Times New Roman" w:cs="Times New Roman"/>
                <w:kern w:val="0"/>
                <w:sz w:val="20"/>
                <w:szCs w:val="20"/>
                <w:lang w:val="ru-RU" w:eastAsia="ru-RU" w:bidi="ar-SA"/>
              </w:rPr>
            </w:r>
          </w:p>
        </w:tc>
      </w:tr>
      <w:tr>
        <w:trPr/>
        <w:tc>
          <w:tcPr>
            <w:tcW w:w="856"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40" w:after="0"/>
              <w:jc w:val="left"/>
              <w:rPr>
                <w:b/>
                <w:sz w:val="24"/>
                <w:szCs w:val="24"/>
              </w:rPr>
            </w:pPr>
            <w:r>
              <w:rPr>
                <w:rFonts w:eastAsia="Times New Roman" w:cs="Times New Roman"/>
                <w:b/>
                <w:kern w:val="0"/>
                <w:sz w:val="24"/>
                <w:szCs w:val="24"/>
                <w:lang w:val="ru-RU" w:eastAsia="ru-RU" w:bidi="ar-SA"/>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Соблюдение при выполнении работ норм и правил нормативно-технических документов</w:t>
            </w:r>
          </w:p>
          <w:p>
            <w:pPr>
              <w:pStyle w:val="Normal"/>
              <w:widowControl w:val="false"/>
              <w:suppressAutoHyphens w:val="true"/>
              <w:spacing w:before="0" w:after="0"/>
              <w:jc w:val="left"/>
              <w:rPr>
                <w:sz w:val="24"/>
                <w:szCs w:val="24"/>
              </w:rPr>
            </w:pPr>
            <w:r>
              <w:rPr>
                <w:sz w:val="24"/>
                <w:szCs w:val="24"/>
              </w:rPr>
            </w:r>
          </w:p>
          <w:p>
            <w:pPr>
              <w:pStyle w:val="Style27"/>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ГОСТ Р 72193-2025 «Гидроэлектростанции и гидроаккумулирующие электростанции. Гидротехнические сооружения. Гидросиловое и гидромеханическое оборудование. Правила организации безопасного обслуживания» (Приложение № 9 к настоящим ТТ).</w:t>
            </w:r>
          </w:p>
        </w:tc>
        <w:tc>
          <w:tcPr>
            <w:tcW w:w="269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694" w:type="dxa"/>
            <w:tcBorders/>
          </w:tcPr>
          <w:p>
            <w:pPr>
              <w:pStyle w:val="Style27"/>
              <w:keepNext w:val="false"/>
              <w:widowControl w:val="false"/>
              <w:numPr>
                <w:ilvl w:val="0"/>
                <w:numId w:val="0"/>
              </w:numPr>
              <w:suppressAutoHyphens w:val="true"/>
              <w:spacing w:before="0" w:after="60"/>
              <w:ind w:left="0" w:hanging="0"/>
              <w:jc w:val="left"/>
              <w:outlineLvl w:val="2"/>
              <w:rPr>
                <w:lang w:val="ru-RU"/>
              </w:rPr>
            </w:pPr>
            <w:bookmarkStart w:id="40" w:name="_Toc226049753"/>
            <w:r>
              <w:rPr>
                <w:rFonts w:eastAsia="Times New Roman" w:cs="Times New Roman"/>
                <w:kern w:val="0"/>
                <w:sz w:val="20"/>
                <w:szCs w:val="20"/>
                <w:lang w:val="ru-RU" w:eastAsia="ru-RU" w:bidi="ar-SA"/>
              </w:rPr>
              <w:t>-</w:t>
            </w:r>
            <w:bookmarkEnd w:id="40"/>
          </w:p>
        </w:tc>
        <w:tc>
          <w:tcPr>
            <w:tcW w:w="2551" w:type="dxa"/>
            <w:tcBorders/>
          </w:tcPr>
          <w:p>
            <w:pPr>
              <w:pStyle w:val="Style27"/>
              <w:keepNext w:val="false"/>
              <w:widowControl w:val="false"/>
              <w:numPr>
                <w:ilvl w:val="0"/>
                <w:numId w:val="0"/>
              </w:numPr>
              <w:suppressAutoHyphens w:val="true"/>
              <w:spacing w:before="0" w:after="60"/>
              <w:ind w:left="0" w:hanging="0"/>
              <w:jc w:val="left"/>
              <w:outlineLvl w:val="2"/>
              <w:rPr>
                <w:rFonts w:eastAsia="Times New Roman"/>
                <w:sz w:val="20"/>
                <w:szCs w:val="20"/>
                <w:lang w:val="ru-RU" w:eastAsia="ru-RU"/>
              </w:rPr>
            </w:pPr>
            <w:r>
              <w:rPr>
                <w:rFonts w:eastAsia="Times New Roman" w:cs="Times New Roman"/>
                <w:kern w:val="0"/>
                <w:sz w:val="20"/>
                <w:szCs w:val="20"/>
                <w:lang w:val="ru-RU" w:eastAsia="ru-RU" w:bidi="ar-SA"/>
              </w:rPr>
            </w:r>
          </w:p>
        </w:tc>
      </w:tr>
      <w:tr>
        <w:trPr/>
        <w:tc>
          <w:tcPr>
            <w:tcW w:w="856"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widowControl w:val="false"/>
              <w:suppressAutoHyphens w:val="true"/>
              <w:spacing w:before="20" w:after="0"/>
              <w:jc w:val="left"/>
              <w:rPr>
                <w:b/>
                <w:sz w:val="24"/>
                <w:szCs w:val="24"/>
              </w:rPr>
            </w:pPr>
            <w:r>
              <w:rPr>
                <w:rFonts w:eastAsia="Times New Roman" w:cs="Times New Roman"/>
                <w:b/>
                <w:kern w:val="0"/>
                <w:sz w:val="24"/>
                <w:szCs w:val="24"/>
                <w:lang w:val="ru-RU" w:eastAsia="ru-RU" w:bidi="ar-SA"/>
              </w:rPr>
              <w:t>Требования к ответственности и гарантиям подрядчика</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Гарантийный срок на результат работ</w:t>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Гарантийный срок на результат работ должен составлять 36 месяцев с даты подписания Акта о приемке выполненных работ КС-2 либо с даты прекращения (расторжения) Договора.</w:t>
            </w:r>
          </w:p>
        </w:tc>
        <w:tc>
          <w:tcPr>
            <w:tcW w:w="2693"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694" w:type="dxa"/>
            <w:tcBorders/>
          </w:tcPr>
          <w:p>
            <w:pPr>
              <w:pStyle w:val="Normal"/>
              <w:widowControl w:val="false"/>
              <w:tabs>
                <w:tab w:val="clear" w:pos="708"/>
                <w:tab w:val="left" w:pos="426" w:leader="none"/>
              </w:tabs>
              <w:suppressAutoHyphens w:val="true"/>
              <w:spacing w:before="40" w:after="0"/>
              <w:jc w:val="center"/>
              <w:rPr>
                <w:b/>
                <w:bCs/>
                <w:sz w:val="24"/>
                <w:szCs w:val="24"/>
              </w:rPr>
            </w:pPr>
            <w:r>
              <w:rPr>
                <w:rFonts w:eastAsia="Times New Roman" w:cs="Times New Roman"/>
                <w:kern w:val="0"/>
                <w:sz w:val="24"/>
                <w:szCs w:val="24"/>
                <w:lang w:val="ru-RU" w:eastAsia="ru-RU" w:bidi="ar-SA"/>
              </w:rPr>
              <w:t>-</w:t>
            </w:r>
          </w:p>
        </w:tc>
        <w:tc>
          <w:tcPr>
            <w:tcW w:w="2551" w:type="dxa"/>
            <w:tcBorders/>
          </w:tcPr>
          <w:p>
            <w:pPr>
              <w:pStyle w:val="Style27"/>
              <w:keepNext w:val="false"/>
              <w:widowControl w:val="false"/>
              <w:numPr>
                <w:ilvl w:val="0"/>
                <w:numId w:val="0"/>
              </w:numPr>
              <w:suppressAutoHyphens w:val="true"/>
              <w:spacing w:before="0" w:after="60"/>
              <w:ind w:left="0" w:hanging="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856"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6231" w:type="dxa"/>
            <w:gridSpan w:val="2"/>
            <w:tcBorders/>
            <w:vAlign w:val="center"/>
          </w:tcPr>
          <w:p>
            <w:pPr>
              <w:pStyle w:val="Normal"/>
              <w:keepNext w:val="true"/>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Требования к подрядчику (и субподрядчикам) и его обязательствам, влияющим на исполнение договора</w:t>
            </w:r>
          </w:p>
        </w:tc>
        <w:tc>
          <w:tcPr>
            <w:tcW w:w="269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69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551"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856"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006"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Требования к субподрядным организациям, привлекаемым к выполнению работ</w:t>
            </w:r>
          </w:p>
        </w:tc>
        <w:tc>
          <w:tcPr>
            <w:tcW w:w="4225"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Привлечение субподрядных организаций допускается при наличии соответствующего обоснования и получения согласия Заказчика. При этом общая доля работ, выполняемых субподрядными организациями, не должна превышать 25% от общей стоимости работ.</w:t>
            </w:r>
          </w:p>
        </w:tc>
        <w:tc>
          <w:tcPr>
            <w:tcW w:w="269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694" w:type="dxa"/>
            <w:tcBorders/>
          </w:tcPr>
          <w:p>
            <w:pPr>
              <w:pStyle w:val="Style27"/>
              <w:keepNext w:val="false"/>
              <w:widowControl w:val="false"/>
              <w:numPr>
                <w:ilvl w:val="0"/>
                <w:numId w:val="0"/>
              </w:numPr>
              <w:suppressAutoHyphens w:val="true"/>
              <w:spacing w:before="0" w:after="60"/>
              <w:ind w:left="0" w:hanging="0"/>
              <w:jc w:val="left"/>
              <w:outlineLvl w:val="2"/>
              <w:rPr>
                <w:lang w:val="ru-RU"/>
              </w:rPr>
            </w:pPr>
            <w:bookmarkStart w:id="41" w:name="_Toc226049754"/>
            <w:r>
              <w:rPr>
                <w:rFonts w:eastAsia="Times New Roman" w:cs="Times New Roman"/>
                <w:kern w:val="0"/>
                <w:sz w:val="20"/>
                <w:szCs w:val="20"/>
                <w:lang w:val="ru-RU" w:eastAsia="ru-RU" w:bidi="ar-SA"/>
              </w:rPr>
              <w:t>-</w:t>
            </w:r>
            <w:bookmarkEnd w:id="41"/>
          </w:p>
        </w:tc>
        <w:tc>
          <w:tcPr>
            <w:tcW w:w="2551" w:type="dxa"/>
            <w:tcBorders/>
          </w:tcPr>
          <w:p>
            <w:pPr>
              <w:pStyle w:val="Style27"/>
              <w:keepNext w:val="false"/>
              <w:widowControl w:val="false"/>
              <w:numPr>
                <w:ilvl w:val="0"/>
                <w:numId w:val="0"/>
              </w:numPr>
              <w:suppressAutoHyphens w:val="true"/>
              <w:spacing w:before="0" w:after="60"/>
              <w:ind w:left="0" w:hanging="0"/>
              <w:jc w:val="left"/>
              <w:outlineLvl w:val="2"/>
              <w:rPr>
                <w:rFonts w:eastAsia="Times New Roman"/>
                <w:sz w:val="20"/>
                <w:szCs w:val="20"/>
                <w:lang w:val="ru-RU" w:eastAsia="ru-RU"/>
              </w:rPr>
            </w:pPr>
            <w:r>
              <w:rPr>
                <w:rFonts w:eastAsia="Times New Roman" w:cs="Times New Roman"/>
                <w:kern w:val="0"/>
                <w:sz w:val="20"/>
                <w:szCs w:val="20"/>
                <w:lang w:val="ru-RU" w:eastAsia="ru-RU" w:bidi="ar-SA"/>
              </w:rPr>
            </w:r>
          </w:p>
        </w:tc>
      </w:tr>
    </w:tbl>
    <w:p>
      <w:pPr>
        <w:sectPr>
          <w:headerReference w:type="default" r:id="rId5"/>
          <w:headerReference w:type="first" r:id="rId6"/>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Heading1"/>
        <w:keepLines/>
        <w:numPr>
          <w:ilvl w:val="0"/>
          <w:numId w:val="3"/>
        </w:numPr>
        <w:ind w:left="0" w:firstLine="284"/>
        <w:jc w:val="center"/>
        <w:rPr>
          <w:lang w:val="ru-RU"/>
        </w:rPr>
      </w:pPr>
      <w:bookmarkStart w:id="42" w:name="_Toc226049755"/>
      <w:bookmarkStart w:id="43" w:name="_Toc54646411"/>
      <w:bookmarkStart w:id="44" w:name="_Toc53393312"/>
      <w:r>
        <w:rPr>
          <w:lang w:val="ru-RU"/>
        </w:rPr>
        <w:t>Требования к документации по ценообразованию</w:t>
      </w:r>
      <w:bookmarkEnd w:id="44"/>
      <w:r>
        <w:rPr>
          <w:lang w:val="ru-RU"/>
        </w:rPr>
        <w:t xml:space="preserve"> на этапе </w:t>
      </w:r>
      <w:bookmarkEnd w:id="43"/>
      <w:r>
        <w:rPr>
          <w:lang w:val="ru-RU"/>
        </w:rPr>
        <w:t>закупки</w:t>
      </w:r>
      <w:bookmarkEnd w:id="42"/>
    </w:p>
    <w:p>
      <w:pPr>
        <w:pStyle w:val="Normal"/>
        <w:ind w:left="284" w:hanging="0"/>
        <w:jc w:val="both"/>
        <w:rPr>
          <w:iCs/>
          <w:sz w:val="24"/>
          <w:szCs w:val="24"/>
        </w:rPr>
      </w:pPr>
      <w:r>
        <w:rPr>
          <w:iCs/>
          <w:sz w:val="24"/>
          <w:szCs w:val="24"/>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pPr>
        <w:pStyle w:val="Normal"/>
        <w:ind w:left="284" w:hanging="0"/>
        <w:jc w:val="both"/>
        <w:rPr>
          <w:iCs/>
          <w:sz w:val="24"/>
          <w:szCs w:val="24"/>
        </w:rPr>
      </w:pPr>
      <w:r>
        <w:rPr>
          <w:iCs/>
          <w:sz w:val="24"/>
          <w:szCs w:val="24"/>
        </w:rPr>
      </w:r>
    </w:p>
    <w:p>
      <w:pPr>
        <w:pStyle w:val="Normal"/>
        <w:ind w:left="284" w:hanging="0"/>
        <w:jc w:val="both"/>
        <w:rPr>
          <w:iCs/>
          <w:sz w:val="24"/>
          <w:szCs w:val="24"/>
        </w:rPr>
      </w:pPr>
      <w:r>
        <w:rPr>
          <w:iCs/>
          <w:sz w:val="24"/>
          <w:szCs w:val="24"/>
        </w:rPr>
        <w:t>Дополнительные документы по ценообразованию (сметная документация) в состав заявки Участника не включаются.</w:t>
      </w:r>
    </w:p>
    <w:p>
      <w:pPr>
        <w:pStyle w:val="Normal"/>
        <w:ind w:left="284" w:hanging="0"/>
        <w:jc w:val="center"/>
        <w:rPr>
          <w:iCs/>
        </w:rPr>
      </w:pPr>
      <w:r>
        <w:rPr>
          <w:iCs/>
        </w:rPr>
      </w:r>
    </w:p>
    <w:p>
      <w:pPr>
        <w:pStyle w:val="Heading1"/>
        <w:numPr>
          <w:ilvl w:val="0"/>
          <w:numId w:val="3"/>
        </w:numPr>
        <w:ind w:left="284" w:hanging="360"/>
        <w:jc w:val="center"/>
        <w:rPr/>
      </w:pPr>
      <w:bookmarkStart w:id="45" w:name="_Toc226049756"/>
      <w:r>
        <w:rPr/>
        <w:t>Требования к документации по ценообразованию на этапе заключения (исполнения) договора</w:t>
      </w:r>
      <w:bookmarkEnd w:id="45"/>
    </w:p>
    <w:p>
      <w:pPr>
        <w:pStyle w:val="Normal"/>
        <w:ind w:left="284" w:hanging="0"/>
        <w:jc w:val="both"/>
        <w:rPr>
          <w:iCs/>
          <w:sz w:val="24"/>
          <w:szCs w:val="24"/>
        </w:rPr>
      </w:pPr>
      <w:r>
        <w:rPr>
          <w:iCs/>
          <w:sz w:val="24"/>
          <w:szCs w:val="24"/>
        </w:rPr>
        <w:t>По результатам настоящей закупки заключается договор с предельной ценой.</w:t>
      </w:r>
    </w:p>
    <w:p>
      <w:pPr>
        <w:pStyle w:val="Normal"/>
        <w:ind w:left="284" w:hanging="0"/>
        <w:jc w:val="both"/>
        <w:rPr>
          <w:iCs/>
          <w:sz w:val="24"/>
          <w:szCs w:val="24"/>
        </w:rPr>
      </w:pPr>
      <w:r>
        <w:rPr>
          <w:iCs/>
          <w:sz w:val="24"/>
          <w:szCs w:val="24"/>
        </w:rPr>
        <w:t>Разработка сметной документации осуществляется при исполнении договора в соответствии с договорными условиями и приложением №7 к настоящим Техническим требованиям «Требования к оформлению и составлению сметной документации по ценообразованию».</w:t>
      </w:r>
    </w:p>
    <w:p>
      <w:pPr>
        <w:pStyle w:val="Normal"/>
        <w:ind w:left="284" w:hanging="0"/>
        <w:rPr>
          <w:iCs/>
        </w:rPr>
      </w:pPr>
      <w:r>
        <w:rPr>
          <w:iCs/>
        </w:rPr>
      </w:r>
    </w:p>
    <w:p>
      <w:pPr>
        <w:pStyle w:val="Heading1"/>
        <w:numPr>
          <w:ilvl w:val="0"/>
          <w:numId w:val="3"/>
        </w:numPr>
        <w:ind w:left="284" w:hanging="0"/>
        <w:jc w:val="center"/>
        <w:rPr/>
      </w:pPr>
      <w:bookmarkStart w:id="46" w:name="_Toc226049757"/>
      <w:r>
        <w:rPr/>
        <w:t>Приложения</w:t>
      </w:r>
      <w:bookmarkEnd w:id="46"/>
    </w:p>
    <w:p>
      <w:pPr>
        <w:pStyle w:val="Normal"/>
        <w:jc w:val="both"/>
        <w:rPr>
          <w:lang w:val="x-none" w:eastAsia="x-none"/>
        </w:rPr>
      </w:pPr>
      <w:r>
        <w:rPr>
          <w:lang w:val="x-none" w:eastAsia="x-none"/>
        </w:rPr>
      </w:r>
    </w:p>
    <w:p>
      <w:pPr>
        <w:pStyle w:val="Normal"/>
        <w:ind w:left="284" w:hanging="0"/>
        <w:jc w:val="both"/>
        <w:rPr>
          <w:iCs/>
          <w:sz w:val="24"/>
          <w:szCs w:val="24"/>
        </w:rPr>
      </w:pPr>
      <w:r>
        <w:rPr>
          <w:iCs/>
          <w:sz w:val="24"/>
          <w:szCs w:val="24"/>
        </w:rPr>
        <w:t>Приложение №1: Ведомость объемов работ по текущему ремонт спиральной камеры и технических</w:t>
      </w:r>
      <w:r>
        <w:rPr>
          <w:b/>
          <w:sz w:val="20"/>
          <w:szCs w:val="20"/>
        </w:rPr>
        <w:t xml:space="preserve"> </w:t>
      </w:r>
      <w:r>
        <w:rPr>
          <w:iCs/>
          <w:sz w:val="24"/>
          <w:szCs w:val="24"/>
        </w:rPr>
        <w:t xml:space="preserve">помещений гидроагрегата ст.№1 Новосибирской ГЭС;                                                                                                                                                                                                                                                                                                                                                                                                                                                                                                                                                                                                                                                                                                                                                                                                                                                                                                                                                                                                                                                                                                                                                                                                                                                                                                                                                                                                                                                                                                                                                                                                                                                                  </w:t>
      </w:r>
    </w:p>
    <w:p>
      <w:pPr>
        <w:pStyle w:val="Normal"/>
        <w:ind w:left="284" w:hanging="0"/>
        <w:jc w:val="both"/>
        <w:rPr>
          <w:iCs/>
          <w:sz w:val="24"/>
          <w:szCs w:val="24"/>
        </w:rPr>
      </w:pPr>
      <w:r>
        <w:rPr>
          <w:iCs/>
          <w:sz w:val="24"/>
          <w:szCs w:val="24"/>
        </w:rPr>
        <w:t>Приложение №2: Политика Группы РусГидро в области охраны труда;</w:t>
      </w:r>
    </w:p>
    <w:p>
      <w:pPr>
        <w:pStyle w:val="Normal"/>
        <w:ind w:left="284" w:hanging="0"/>
        <w:jc w:val="both"/>
        <w:rPr>
          <w:iCs/>
          <w:sz w:val="24"/>
          <w:szCs w:val="24"/>
        </w:rPr>
      </w:pPr>
      <w:r>
        <w:rPr>
          <w:iCs/>
          <w:sz w:val="24"/>
          <w:szCs w:val="24"/>
        </w:rPr>
        <w:t>Приложение №3: Регламент процесса «Допуск персонала подрядных организаций на объекты ПАО "РусГидро", утв. приказом ПАО «РусГидро»;</w:t>
      </w:r>
    </w:p>
    <w:p>
      <w:pPr>
        <w:pStyle w:val="Normal"/>
        <w:ind w:left="284" w:hanging="0"/>
        <w:jc w:val="both"/>
        <w:rPr>
          <w:iCs/>
          <w:sz w:val="24"/>
          <w:szCs w:val="24"/>
        </w:rPr>
      </w:pPr>
      <w:r>
        <w:rPr>
          <w:iCs/>
          <w:sz w:val="24"/>
          <w:szCs w:val="24"/>
        </w:rPr>
        <w:t>Приложение №4: Положение о пропускном и внутриобъектовом режимах (утв. приказом филиала ПАО «РусГидро» - «Новосибирская ГЭС»);</w:t>
      </w:r>
    </w:p>
    <w:p>
      <w:pPr>
        <w:pStyle w:val="Normal"/>
        <w:ind w:left="284" w:hanging="0"/>
        <w:jc w:val="both"/>
        <w:rPr>
          <w:iCs/>
          <w:sz w:val="24"/>
          <w:szCs w:val="24"/>
        </w:rPr>
      </w:pPr>
      <w:r>
        <w:rPr>
          <w:iCs/>
          <w:sz w:val="24"/>
          <w:szCs w:val="24"/>
        </w:rPr>
        <w:t>Приложение №5: Положение о порядке организации работ с использованием подъёмных сооружений и другой специальной техники на территории Филиала ПАО «РусГидро»-«Новосибирская ГЭС» (утверждено приказом филиала ПАО «РусГидро»-«Новосибирская ГЭС» №НГЭС/93-0043 от 24.03.2017);</w:t>
      </w:r>
    </w:p>
    <w:p>
      <w:pPr>
        <w:pStyle w:val="Normal"/>
        <w:ind w:left="284" w:hanging="0"/>
        <w:jc w:val="both"/>
        <w:rPr>
          <w:iCs/>
          <w:sz w:val="24"/>
          <w:szCs w:val="24"/>
        </w:rPr>
      </w:pPr>
      <w:r>
        <w:rPr>
          <w:iCs/>
          <w:sz w:val="24"/>
          <w:szCs w:val="24"/>
        </w:rPr>
        <w:t>Приложение №6: Положение о системе строительного контроля при осуществлении строительства, реконструкции и капитального ремонта объектов капитального строительства филиала ПАО «РусГидро»-«Новосибирская ГЭС»;</w:t>
      </w:r>
    </w:p>
    <w:p>
      <w:pPr>
        <w:pStyle w:val="Normal"/>
        <w:ind w:left="284" w:hanging="0"/>
        <w:jc w:val="both"/>
        <w:rPr>
          <w:iCs/>
          <w:sz w:val="24"/>
          <w:szCs w:val="24"/>
        </w:rPr>
      </w:pPr>
      <w:r>
        <w:rPr>
          <w:iCs/>
          <w:sz w:val="24"/>
          <w:szCs w:val="24"/>
        </w:rPr>
        <w:t>Приложение №7: Требования к оформлению и составлению документации по ценообразованию;</w:t>
      </w:r>
    </w:p>
    <w:p>
      <w:pPr>
        <w:pStyle w:val="Normal"/>
        <w:ind w:left="284" w:hanging="0"/>
        <w:jc w:val="both"/>
        <w:rPr>
          <w:iCs/>
          <w:sz w:val="24"/>
          <w:szCs w:val="24"/>
        </w:rPr>
      </w:pPr>
      <w:r>
        <w:rPr>
          <w:iCs/>
          <w:sz w:val="24"/>
          <w:szCs w:val="24"/>
        </w:rPr>
        <w:t>Приложение №8: СТО РусГидро 02.03.158-2026 «Гидроэлектростанции. Технологические карты. Методические указания»;</w:t>
      </w:r>
    </w:p>
    <w:p>
      <w:pPr>
        <w:pStyle w:val="Normal"/>
        <w:widowControl w:val="false"/>
        <w:ind w:left="283" w:hanging="0"/>
        <w:jc w:val="both"/>
        <w:rPr/>
      </w:pPr>
      <w:r>
        <w:rPr>
          <w:iCs/>
          <w:sz w:val="24"/>
          <w:szCs w:val="24"/>
        </w:rPr>
        <w:t xml:space="preserve">Приложение № 9: </w:t>
      </w:r>
      <w:r>
        <w:rPr>
          <w:sz w:val="24"/>
          <w:szCs w:val="24"/>
        </w:rPr>
        <w:t>ГОСТ Р 72193-2025 «Гидроэлектростанции и гидроаккумулирующие электростанции. Гидротехнические сооружения. Гидросиловое и гидромеханическое оборудование. Правила организации безопасного обслуживания».</w:t>
      </w:r>
    </w:p>
    <w:p>
      <w:pPr>
        <w:pStyle w:val="Normal"/>
        <w:widowControl w:val="false"/>
        <w:ind w:left="283" w:hanging="0"/>
        <w:jc w:val="both"/>
        <w:rPr/>
      </w:pPr>
      <w:r>
        <w:rPr>
          <w:iCs/>
          <w:sz w:val="24"/>
          <w:szCs w:val="24"/>
        </w:rPr>
        <w:t xml:space="preserve">Приложение № 10: </w:t>
      </w:r>
      <w:r>
        <w:rPr>
          <w:sz w:val="24"/>
          <w:szCs w:val="24"/>
        </w:rPr>
        <w:t xml:space="preserve">«Порядок размещения мобильных инвентарных временных зданий (вагонов-бытовок) для пребывания персонала в филиале ПАО </w:t>
      </w:r>
      <w:r>
        <w:rPr>
          <w:iCs/>
          <w:sz w:val="24"/>
          <w:szCs w:val="24"/>
        </w:rPr>
        <w:t>«РусГидро»-«Новосибирская ГЭС</w:t>
      </w:r>
      <w:r>
        <w:rPr>
          <w:sz w:val="24"/>
          <w:szCs w:val="24"/>
        </w:rPr>
        <w:t>», утв. Приказом ф</w:t>
      </w:r>
      <w:r>
        <w:rPr>
          <w:iCs/>
          <w:sz w:val="24"/>
          <w:szCs w:val="24"/>
        </w:rPr>
        <w:t>илиала ПАО «РусГидро»-«Новосибирская ГЭС» №НГЭС/93-360 от 28.08.2025</w:t>
      </w:r>
      <w:r>
        <w:rPr>
          <w:sz w:val="24"/>
          <w:szCs w:val="24"/>
        </w:rPr>
        <w:t>.</w:t>
      </w:r>
    </w:p>
    <w:sectPr>
      <w:headerReference w:type="default" r:id="rId7"/>
      <w:headerReference w:type="first" r:id="rId8"/>
      <w:type w:val="nextPage"/>
      <w:pgSz w:w="11906" w:h="16838"/>
      <w:pgMar w:left="1134" w:right="851" w:gutter="0" w:header="680"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 w:name="Timeg New Roman">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20</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22</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4897" w:hanging="360"/>
      </w:pPr>
      <w:rPr>
        <w:smallCaps w:val="false"/>
        <w:caps w:val="false"/>
        <w:dstrike w:val="false"/>
        <w:strike w:val="false"/>
        <w:vertAlign w:val="baseline"/>
        <w:position w:val="0"/>
        <w:sz w:val="28"/>
        <w:sz w:val="28"/>
        <w:spacing w:val="0"/>
        <w:i w:val="false"/>
        <w:u w:val="none"/>
        <w:b/>
        <w:kern w:val="0"/>
        <w:effect w:val="none"/>
        <w:szCs w:val="28"/>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bullet"/>
      <w:lvlText w:val="-"/>
      <w:lvlJc w:val="left"/>
      <w:pPr>
        <w:tabs>
          <w:tab w:val="num" w:pos="0"/>
        </w:tabs>
        <w:ind w:left="1146" w:hanging="360"/>
      </w:pPr>
      <w:rPr>
        <w:rFonts w:ascii="Timeg New Roman" w:hAnsi="Timeg New Roman" w:cs="Timeg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08"/>
  <w:autoHyphenation w:val="true"/>
  <w:compat>
    <w:compatSetting w:name="compatibilityMode" w:uri="http://schemas.microsoft.com/office/word" w:val="12"/>
  </w:compat>
  <w:documentProtection w:edit="trackedChanges" w:enforcement="1" w:cryptAlgorithmSid="14" w:cryptSpinCount="100000" w:cryptProviderType="rsaAES" w:cryptAlgorithmClass="hash" w:cryptAlgorithmType="typeAny" w:salt="YBmHw4+irv5cr3ZWkKBNKg==" w:hash="0PT8FkhzhgJv6mGDpWrUOQF0BDNpY28ck1G3StwXl+qWMJ+qV/UR+QZXl4PaJ93rBAeq6WCvfZwFTfC+lYUPvA=="/>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qFormat/>
    <w:rsid w:val="00353a27"/>
    <w:pPr>
      <w:numPr>
        <w:ilvl w:val="0"/>
      </w:numPr>
      <w:outlineLvl w:val="0"/>
    </w:pPr>
    <w:rPr>
      <w:sz w:val="28"/>
      <w:szCs w:val="28"/>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035e96"/>
    <w:pPr>
      <w:keepNext w:val="true"/>
      <w:numPr>
        <w:ilvl w:val="2"/>
        <w:numId w:val="3"/>
      </w:numPr>
      <w:spacing w:before="120" w:after="60"/>
      <w:outlineLvl w:val="2"/>
    </w:pPr>
    <w:rPr>
      <w:rFonts w:eastAsia="Calibri"/>
      <w:b/>
      <w:sz w:val="24"/>
      <w:szCs w:val="24"/>
      <w:lang w:val="x-none" w:eastAsia="x-none"/>
    </w:rPr>
  </w:style>
  <w:style w:type="paragraph" w:styleId="Heading4">
    <w:name w:val="Heading 4"/>
    <w:basedOn w:val="Heading3"/>
    <w:next w:val="Normal"/>
    <w:link w:val="4"/>
    <w:qFormat/>
    <w:rsid w:val="006629c9"/>
    <w:pPr>
      <w:numPr>
        <w:ilvl w:val="0"/>
        <w:numId w:val="0"/>
      </w:numPr>
      <w:tabs>
        <w:tab w:val="clear" w:pos="708"/>
        <w:tab w:val="left" w:pos="0" w:leader="none"/>
      </w:tabs>
      <w:ind w:left="432" w:hanging="432"/>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Hyperlink">
    <w:name w:val="Hyperlink"/>
    <w:uiPriority w:val="99"/>
    <w:rsid w:val="006c2f3f"/>
    <w:rPr>
      <w:color w:val="0000FF"/>
      <w:u w:val="single"/>
    </w:rPr>
  </w:style>
  <w:style w:type="character" w:styleId="Annotationreference">
    <w:name w:val="annotation reference"/>
    <w:uiPriority w:val="99"/>
    <w:semiHidden/>
    <w:qFormat/>
    <w:rsid w:val="00b714b0"/>
    <w:rPr>
      <w:sz w:val="16"/>
      <w:szCs w:val="16"/>
    </w:rPr>
  </w:style>
  <w:style w:type="character" w:styleId="Strong">
    <w:name w:val="Strong"/>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035e96"/>
    <w:rPr>
      <w:rFonts w:eastAsia="Calibri"/>
      <w:b/>
      <w:sz w:val="24"/>
      <w:szCs w:val="24"/>
      <w:lang w:val="x-none" w:eastAsia="x-none"/>
    </w:rPr>
  </w:style>
  <w:style w:type="character" w:styleId="4" w:customStyle="1">
    <w:name w:val="Заголовок 4 Знак"/>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5"/>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21"/>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29"/>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semiHidden/>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2" w:customStyle="1">
    <w:name w:val="УРОВЕНЬ_1. Знак"/>
    <w:link w:val="19"/>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Style14" w:customStyle="1">
    <w:name w:val="Ссылка указателя"/>
    <w:qFormat/>
    <w:rPr/>
  </w:style>
  <w:style w:type="character" w:styleId="Linenumber1">
    <w:name w:val="line number1"/>
    <w:qFormat/>
    <w:rPr/>
  </w:style>
  <w:style w:type="character" w:styleId="LineNumber">
    <w:name w:val="Line Number"/>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6">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rFonts w:cs="Arial Unicode MS"/>
      <w:i/>
      <w:iCs/>
      <w:sz w:val="24"/>
      <w:szCs w:val="24"/>
    </w:rPr>
  </w:style>
  <w:style w:type="paragraph" w:styleId="Indexheading11" w:customStyle="1">
    <w:name w:val="index heading11"/>
    <w:basedOn w:val="Title"/>
    <w:qFormat/>
    <w:pPr/>
    <w:rPr/>
  </w:style>
  <w:style w:type="paragraph" w:styleId="Caption111" w:customStyle="1">
    <w:name w:val="caption111"/>
    <w:basedOn w:val="Normal"/>
    <w:qFormat/>
    <w:pPr>
      <w:suppressLineNumbers/>
      <w:spacing w:before="120" w:after="120"/>
    </w:pPr>
    <w:rPr>
      <w:i/>
      <w:iCs/>
      <w:sz w:val="24"/>
      <w:szCs w:val="24"/>
    </w:rPr>
  </w:style>
  <w:style w:type="paragraph" w:styleId="Indexheading111" w:customStyle="1">
    <w:name w:val="index heading111"/>
    <w:basedOn w:val="Title"/>
    <w:qFormat/>
    <w:pPr/>
    <w:rPr/>
  </w:style>
  <w:style w:type="paragraph" w:styleId="Caption1111" w:customStyle="1">
    <w:name w:val="caption1111"/>
    <w:basedOn w:val="Normal"/>
    <w:qFormat/>
    <w:pPr>
      <w:suppressLineNumbers/>
      <w:spacing w:before="120" w:after="120"/>
    </w:pPr>
    <w:rPr>
      <w:i/>
      <w:iCs/>
      <w:sz w:val="24"/>
      <w:szCs w:val="24"/>
    </w:rPr>
  </w:style>
  <w:style w:type="paragraph" w:styleId="Indexheading1111" w:customStyle="1">
    <w:name w:val="index heading1111"/>
    <w:basedOn w:val="Title"/>
    <w:qFormat/>
    <w:pPr/>
    <w:rPr/>
  </w:style>
  <w:style w:type="paragraph" w:styleId="Style17" w:customStyle="1">
    <w:name w:val="Название раздела инструкции"/>
    <w:basedOn w:val="Normal"/>
    <w:autoRedefine/>
    <w:qFormat/>
    <w:rsid w:val="00275328"/>
    <w:pPr>
      <w:jc w:val="center"/>
    </w:pPr>
    <w:rPr>
      <w:b/>
    </w:rPr>
  </w:style>
  <w:style w:type="paragraph" w:styleId="Style18"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19"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4"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5" w:customStyle="1">
    <w:name w:val="Название1"/>
    <w:basedOn w:val="Normal"/>
    <w:link w:val="Style1"/>
    <w:uiPriority w:val="10"/>
    <w:qFormat/>
    <w:rsid w:val="00bd4014"/>
    <w:pPr>
      <w:jc w:val="center"/>
    </w:pPr>
    <w:rPr>
      <w:szCs w:val="20"/>
      <w:lang w:val="x-none" w:eastAsia="x-none"/>
    </w:rPr>
  </w:style>
  <w:style w:type="paragraph" w:styleId="Style20" w:customStyle="1">
    <w:name w:val="Колонтитул"/>
    <w:basedOn w:val="Normal"/>
    <w:qFormat/>
    <w:pPr/>
    <w:rPr/>
  </w:style>
  <w:style w:type="paragraph" w:styleId="Header">
    <w:name w:val="Header"/>
    <w:basedOn w:val="Normal"/>
    <w:link w:val="Style10"/>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1" w:customStyle="1">
    <w:name w:val="Подпункт"/>
    <w:basedOn w:val="Normal"/>
    <w:link w:val="11"/>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1567af"/>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22" w:customStyle="1">
    <w:name w:val="Раздел регламента"/>
    <w:basedOn w:val="Normal"/>
    <w:qFormat/>
    <w:rsid w:val="00e228fa"/>
    <w:pPr/>
    <w:rPr/>
  </w:style>
  <w:style w:type="paragraph" w:styleId="Style23"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semiHidden/>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6"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4"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111" w:customStyle="1">
    <w:name w:val="caption111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uiPriority w:val="34"/>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5"/>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5"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311" w:customStyle="1">
    <w:name w:val="Список 3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6"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7"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7"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8" w:customStyle="1">
    <w:name w:val="Таблица шапка"/>
    <w:basedOn w:val="Normal"/>
    <w:qFormat/>
    <w:rsid w:val="00f64089"/>
    <w:pPr>
      <w:keepNext w:val="true"/>
      <w:spacing w:before="40" w:after="40"/>
      <w:ind w:left="57" w:right="57" w:hanging="0"/>
    </w:pPr>
    <w:rPr>
      <w:sz w:val="22"/>
      <w:szCs w:val="26"/>
    </w:rPr>
  </w:style>
  <w:style w:type="paragraph" w:styleId="Style29" w:customStyle="1">
    <w:name w:val="Подподпункт"/>
    <w:basedOn w:val="Style21"/>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0"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1"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8" w:customStyle="1">
    <w:name w:val="Стиль Заголовок 1 + по ширине"/>
    <w:basedOn w:val="Heading1"/>
    <w:qFormat/>
    <w:rsid w:val="005773b2"/>
    <w:pPr>
      <w:keepLines/>
      <w:numPr>
        <w:ilvl w:val="0"/>
        <w:numId w:val="0"/>
      </w:numPr>
      <w:tabs>
        <w:tab w:val="clear" w:pos="708"/>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2"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9"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Style33" w:customStyle="1">
    <w:name w:val="Содержимое врезки"/>
    <w:basedOn w:val="Normal"/>
    <w:qFormat/>
    <w:pPr/>
    <w:rPr/>
  </w:style>
  <w:style w:type="numbering" w:styleId="NoList" w:default="1">
    <w:name w:val="No List"/>
    <w:uiPriority w:val="99"/>
    <w:semiHidden/>
    <w:unhideWhenUsed/>
    <w:qFormat/>
  </w:style>
  <w:style w:type="numbering" w:styleId="110" w:customStyle="1">
    <w:name w:val="Стиль1"/>
    <w:uiPriority w:val="99"/>
    <w:qFormat/>
    <w:rsid w:val="00f001e4"/>
  </w:style>
  <w:style w:type="numbering" w:styleId="29" w:customStyle="1">
    <w:name w:val="Стиль2"/>
    <w:uiPriority w:val="99"/>
    <w:qFormat/>
    <w:rsid w:val="006629c9"/>
  </w:style>
  <w:style w:type="table" w:default="1" w:styleId="a5">
    <w:name w:val="Normal Table"/>
    <w:uiPriority w:val="99"/>
    <w:semiHidden/>
    <w:unhideWhenUsed/>
    <w:tblPr>
      <w:tblCellMar>
        <w:top w:w="0" w:type="dxa"/>
        <w:left w:w="108" w:type="dxa"/>
        <w:bottom w:w="0" w:type="dxa"/>
        <w:right w:w="108" w:type="dxa"/>
      </w:tblCellMar>
    </w:tblPr>
  </w:style>
  <w:style w:type="table" w:styleId="affff6">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c">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6A4F9-2820-45C2-BCA3-FB55CCE3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Application>AlterOffice/3.4.0.9$Linux_X86_64 LibreOffice_project/b8daf9e823b1a5463a2f48435ddc2e8696e7d4fc</Application>
  <AppVersion>15.0000</AppVersion>
  <Pages>21</Pages>
  <Words>3164</Words>
  <Characters>22452</Characters>
  <CharactersWithSpaces>27260</CharactersWithSpaces>
  <Paragraphs>351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2025-04-18T07:03:00Z</dcterms:created>
  <dc:creator>Быстров Олег Геннадьевич</dc:creator>
  <dc:description/>
  <dc:language>ru-RU</dc:language>
  <cp:lastModifiedBy>murinatv@corp.gidroogk.com</cp:lastModifiedBy>
  <cp:lastPrinted>2006-07-26T14:04:00Z</cp:lastPrinted>
  <dcterms:modified xsi:type="dcterms:W3CDTF">2026-05-29T09:40:42Z</dcterms:modified>
  <cp:revision>37</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